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4822" w14:textId="77777777" w:rsidR="006F7567" w:rsidRDefault="00D763C9" w:rsidP="00A33555">
      <w:pPr>
        <w:jc w:val="center"/>
        <w:rPr>
          <w:b/>
          <w:bCs/>
          <w:lang w:val="en-US"/>
        </w:rPr>
      </w:pPr>
      <w:r w:rsidRPr="00DC4A88">
        <w:rPr>
          <w:b/>
          <w:bCs/>
          <w:lang w:val="en-US"/>
        </w:rPr>
        <w:t>Franklin Political Risk and Opportunity Index (FRISKOP)</w:t>
      </w:r>
    </w:p>
    <w:p w14:paraId="63C4985E" w14:textId="77777777" w:rsidR="006F7567" w:rsidRDefault="006F7567" w:rsidP="00A33555">
      <w:pPr>
        <w:jc w:val="center"/>
        <w:rPr>
          <w:b/>
          <w:bCs/>
          <w:lang w:val="en-US"/>
        </w:rPr>
      </w:pPr>
    </w:p>
    <w:p w14:paraId="56724F51" w14:textId="081637BA" w:rsidR="00D763C9" w:rsidRPr="00B54420" w:rsidRDefault="006F7567" w:rsidP="00A33555">
      <w:pPr>
        <w:jc w:val="center"/>
        <w:rPr>
          <w:i/>
          <w:iCs/>
        </w:rPr>
      </w:pPr>
      <w:r w:rsidRPr="00B54420">
        <w:rPr>
          <w:i/>
          <w:iCs/>
        </w:rPr>
        <w:t>Technical Report</w:t>
      </w:r>
    </w:p>
    <w:p w14:paraId="57648B6C" w14:textId="5CD31EC1" w:rsidR="006F7567" w:rsidRPr="00B54420" w:rsidRDefault="006F7567" w:rsidP="00A33555">
      <w:pPr>
        <w:jc w:val="center"/>
        <w:rPr>
          <w:i/>
          <w:iCs/>
        </w:rPr>
      </w:pPr>
      <w:r w:rsidRPr="00B54420">
        <w:rPr>
          <w:i/>
          <w:iCs/>
        </w:rPr>
        <w:t xml:space="preserve">Version </w:t>
      </w:r>
      <w:r w:rsidR="00E32E14">
        <w:rPr>
          <w:i/>
          <w:iCs/>
        </w:rPr>
        <w:t>3</w:t>
      </w:r>
      <w:r w:rsidR="00A33555" w:rsidRPr="00B54420">
        <w:rPr>
          <w:i/>
          <w:iCs/>
        </w:rPr>
        <w:t>,</w:t>
      </w:r>
      <w:r w:rsidR="002135DF">
        <w:rPr>
          <w:i/>
          <w:iCs/>
        </w:rPr>
        <w:t xml:space="preserve"> 7</w:t>
      </w:r>
      <w:r w:rsidRPr="00B54420">
        <w:rPr>
          <w:i/>
          <w:iCs/>
        </w:rPr>
        <w:t xml:space="preserve"> </w:t>
      </w:r>
      <w:proofErr w:type="spellStart"/>
      <w:r w:rsidR="00E32E14">
        <w:rPr>
          <w:i/>
          <w:iCs/>
        </w:rPr>
        <w:t>February</w:t>
      </w:r>
      <w:proofErr w:type="spellEnd"/>
      <w:r w:rsidRPr="00B54420">
        <w:rPr>
          <w:i/>
          <w:iCs/>
        </w:rPr>
        <w:t xml:space="preserve"> 202</w:t>
      </w:r>
      <w:r w:rsidR="002135DF">
        <w:rPr>
          <w:i/>
          <w:iCs/>
        </w:rPr>
        <w:t>3</w:t>
      </w:r>
    </w:p>
    <w:p w14:paraId="4F852BA8" w14:textId="42E89B4E" w:rsidR="006F7567" w:rsidRPr="00B54420" w:rsidRDefault="006F7567"/>
    <w:p w14:paraId="06241328" w14:textId="77777777" w:rsidR="00A33555" w:rsidRPr="00B54420" w:rsidRDefault="00A33555"/>
    <w:p w14:paraId="5B8631E7" w14:textId="77777777" w:rsidR="00A33555" w:rsidRPr="00B54420" w:rsidRDefault="00A33555"/>
    <w:p w14:paraId="709ADFEA" w14:textId="30FFAC6A" w:rsidR="006F7567" w:rsidRPr="00B54420" w:rsidRDefault="006F7567">
      <w:r w:rsidRPr="00B54420">
        <w:t xml:space="preserve">Oliver </w:t>
      </w:r>
      <w:proofErr w:type="spellStart"/>
      <w:r w:rsidRPr="00B54420">
        <w:t>Strijbis</w:t>
      </w:r>
      <w:proofErr w:type="spellEnd"/>
    </w:p>
    <w:p w14:paraId="7AFC9622" w14:textId="59107261" w:rsidR="006F7567" w:rsidRPr="00B54420" w:rsidRDefault="006F7567">
      <w:r w:rsidRPr="00B54420">
        <w:t>Bernd Bucher</w:t>
      </w:r>
    </w:p>
    <w:p w14:paraId="6700D04C" w14:textId="72B68B10" w:rsidR="006F7567" w:rsidRPr="00B54420" w:rsidRDefault="006F7567">
      <w:r w:rsidRPr="00B54420">
        <w:t xml:space="preserve">Juliette </w:t>
      </w:r>
      <w:proofErr w:type="spellStart"/>
      <w:r w:rsidRPr="00B54420">
        <w:t>Schwak</w:t>
      </w:r>
      <w:proofErr w:type="spellEnd"/>
    </w:p>
    <w:p w14:paraId="6001D3A1" w14:textId="4120BA34" w:rsidR="006F7567" w:rsidRPr="00B54420" w:rsidRDefault="006F7567"/>
    <w:p w14:paraId="1F943A41" w14:textId="547802D9" w:rsidR="006F7567" w:rsidRPr="002A765C" w:rsidRDefault="006F7567">
      <w:proofErr w:type="spellStart"/>
      <w:r w:rsidRPr="002A765C">
        <w:t>For</w:t>
      </w:r>
      <w:proofErr w:type="spellEnd"/>
      <w:r w:rsidRPr="002A765C">
        <w:t xml:space="preserve"> </w:t>
      </w:r>
      <w:proofErr w:type="spellStart"/>
      <w:r w:rsidRPr="002A765C">
        <w:t>questions</w:t>
      </w:r>
      <w:proofErr w:type="spellEnd"/>
      <w:r w:rsidRPr="002A765C">
        <w:t xml:space="preserve"> </w:t>
      </w:r>
      <w:proofErr w:type="spellStart"/>
      <w:r w:rsidRPr="002A765C">
        <w:t>please</w:t>
      </w:r>
      <w:proofErr w:type="spellEnd"/>
      <w:r w:rsidRPr="002A765C">
        <w:t xml:space="preserve"> </w:t>
      </w:r>
      <w:proofErr w:type="spellStart"/>
      <w:r w:rsidRPr="002A765C">
        <w:t>contact</w:t>
      </w:r>
      <w:proofErr w:type="spellEnd"/>
      <w:r w:rsidRPr="002A765C">
        <w:t xml:space="preserve">: </w:t>
      </w:r>
      <w:hyperlink r:id="rId8" w:history="1">
        <w:r w:rsidRPr="002A765C">
          <w:rPr>
            <w:rStyle w:val="Hyperlink"/>
          </w:rPr>
          <w:t>ostrijbis@fus.edu</w:t>
        </w:r>
      </w:hyperlink>
    </w:p>
    <w:p w14:paraId="3D1A7C34" w14:textId="77777777" w:rsidR="006F7567" w:rsidRPr="002A765C" w:rsidRDefault="006F7567">
      <w:pPr>
        <w:rPr>
          <w:b/>
          <w:bCs/>
        </w:rPr>
      </w:pPr>
    </w:p>
    <w:p w14:paraId="5F0FD473" w14:textId="7D5626A7" w:rsidR="00D763C9" w:rsidRPr="002A765C" w:rsidRDefault="00D763C9"/>
    <w:p w14:paraId="120E24BF" w14:textId="2AB5F903" w:rsidR="006F7567" w:rsidRDefault="00D763C9" w:rsidP="0063764F">
      <w:pPr>
        <w:rPr>
          <w:lang w:val="en-US"/>
        </w:rPr>
      </w:pPr>
      <w:r w:rsidRPr="002A765C">
        <w:t xml:space="preserve">The Franklin Political Risk and </w:t>
      </w:r>
      <w:proofErr w:type="spellStart"/>
      <w:r w:rsidRPr="002A765C">
        <w:t>Opportunity</w:t>
      </w:r>
      <w:proofErr w:type="spellEnd"/>
      <w:r w:rsidRPr="002A765C">
        <w:t xml:space="preserve"> Index (FRISKOP) </w:t>
      </w:r>
      <w:proofErr w:type="spellStart"/>
      <w:r w:rsidRPr="002A765C">
        <w:t>is</w:t>
      </w:r>
      <w:proofErr w:type="spellEnd"/>
      <w:r w:rsidRPr="002A765C">
        <w:t xml:space="preserve"> an initiative </w:t>
      </w:r>
      <w:proofErr w:type="spellStart"/>
      <w:r w:rsidRPr="002A765C">
        <w:t>by</w:t>
      </w:r>
      <w:proofErr w:type="spellEnd"/>
      <w:r w:rsidRPr="002A765C">
        <w:t xml:space="preserve"> Oliver </w:t>
      </w:r>
      <w:proofErr w:type="spellStart"/>
      <w:r w:rsidRPr="002A765C">
        <w:t>Strijbis</w:t>
      </w:r>
      <w:proofErr w:type="spellEnd"/>
      <w:r w:rsidRPr="002A765C">
        <w:t xml:space="preserve">, Bernd Bucher, and Juliette </w:t>
      </w:r>
      <w:proofErr w:type="spellStart"/>
      <w:r w:rsidRPr="002A765C">
        <w:t>Schwak</w:t>
      </w:r>
      <w:proofErr w:type="spellEnd"/>
      <w:r w:rsidRPr="002A765C">
        <w:t xml:space="preserve">, Professors </w:t>
      </w:r>
      <w:proofErr w:type="spellStart"/>
      <w:r w:rsidRPr="002A765C">
        <w:t>of</w:t>
      </w:r>
      <w:proofErr w:type="spellEnd"/>
      <w:r w:rsidRPr="002A765C">
        <w:t xml:space="preserve"> Political Science</w:t>
      </w:r>
      <w:r w:rsidR="004106CC" w:rsidRPr="002A765C">
        <w:t xml:space="preserve"> </w:t>
      </w:r>
      <w:proofErr w:type="spellStart"/>
      <w:r w:rsidR="004106CC" w:rsidRPr="002A765C">
        <w:t>or</w:t>
      </w:r>
      <w:proofErr w:type="spellEnd"/>
      <w:r w:rsidR="004106CC" w:rsidRPr="002A765C">
        <w:t xml:space="preserve"> Political Economy</w:t>
      </w:r>
      <w:r w:rsidRPr="002A765C">
        <w:t xml:space="preserve"> at </w:t>
      </w:r>
      <w:r w:rsidR="004106CC" w:rsidRPr="002A765C">
        <w:t xml:space="preserve">Franklin University </w:t>
      </w:r>
      <w:proofErr w:type="spellStart"/>
      <w:r w:rsidR="004106CC" w:rsidRPr="002A765C">
        <w:t>Switzerland</w:t>
      </w:r>
      <w:proofErr w:type="spellEnd"/>
      <w:r w:rsidR="004106CC" w:rsidRPr="002A765C">
        <w:t xml:space="preserve"> (</w:t>
      </w:r>
      <w:r w:rsidR="00DC4A88" w:rsidRPr="002A765C">
        <w:t>FUS</w:t>
      </w:r>
      <w:r w:rsidR="004106CC" w:rsidRPr="002A765C">
        <w:t>)</w:t>
      </w:r>
      <w:r w:rsidRPr="002A765C">
        <w:t xml:space="preserve">. </w:t>
      </w:r>
      <w:r>
        <w:rPr>
          <w:lang w:val="en-US"/>
        </w:rPr>
        <w:t xml:space="preserve">It is the first political risk index that combines quantitative measures of the probability of geopolitical events and an assessment of their potential economic impacts. </w:t>
      </w:r>
      <w:r w:rsidR="006F7567">
        <w:rPr>
          <w:lang w:val="en-US"/>
        </w:rPr>
        <w:t>This technical report describes the methodology of FRISKOP.</w:t>
      </w:r>
    </w:p>
    <w:p w14:paraId="18743B07" w14:textId="422788C4" w:rsidR="006F7567" w:rsidRDefault="006F7567" w:rsidP="006F7567">
      <w:pPr>
        <w:rPr>
          <w:vertAlign w:val="superscript"/>
          <w:lang w:val="en-US"/>
        </w:rPr>
      </w:pPr>
    </w:p>
    <w:p w14:paraId="01B697E8" w14:textId="77777777" w:rsidR="006C41B7" w:rsidRDefault="006C41B7" w:rsidP="006F7567">
      <w:pPr>
        <w:rPr>
          <w:lang w:val="en-US"/>
        </w:rPr>
      </w:pPr>
    </w:p>
    <w:p w14:paraId="6D15BD91" w14:textId="55F90A04" w:rsidR="00D763C9" w:rsidRDefault="006F7567" w:rsidP="00D763C9">
      <w:pPr>
        <w:rPr>
          <w:lang w:val="en-US"/>
        </w:rPr>
      </w:pPr>
      <w:r>
        <w:rPr>
          <w:lang w:val="en-US"/>
        </w:rPr>
        <w:t>How to cite:</w:t>
      </w:r>
    </w:p>
    <w:p w14:paraId="4E021B36" w14:textId="7269E167" w:rsidR="006F7567" w:rsidRDefault="006F7567" w:rsidP="00A33555">
      <w:pPr>
        <w:rPr>
          <w:lang w:val="en-US"/>
        </w:rPr>
      </w:pPr>
      <w:proofErr w:type="spellStart"/>
      <w:r w:rsidRPr="002135DF">
        <w:t>Strijbis</w:t>
      </w:r>
      <w:proofErr w:type="spellEnd"/>
      <w:r w:rsidRPr="002135DF">
        <w:t xml:space="preserve">, Oliver, Bernd Bucher, and Juliette </w:t>
      </w:r>
      <w:proofErr w:type="spellStart"/>
      <w:r w:rsidRPr="002135DF">
        <w:t>Schwak</w:t>
      </w:r>
      <w:proofErr w:type="spellEnd"/>
      <w:r w:rsidR="002135DF" w:rsidRPr="002135DF">
        <w:t xml:space="preserve"> (2023).</w:t>
      </w:r>
      <w:r w:rsidRPr="002135DF">
        <w:t xml:space="preserve"> </w:t>
      </w:r>
      <w:r w:rsidR="00A33555" w:rsidRPr="00A33555">
        <w:rPr>
          <w:i/>
          <w:iCs/>
          <w:lang w:val="en-US"/>
        </w:rPr>
        <w:t>Franklin Political Risk and Opportunity Index (FRISKOP): Technical Report</w:t>
      </w:r>
      <w:r w:rsidR="00A33555">
        <w:rPr>
          <w:i/>
          <w:iCs/>
          <w:lang w:val="en-US"/>
        </w:rPr>
        <w:t>,</w:t>
      </w:r>
      <w:r w:rsidR="00A33555" w:rsidRPr="00A33555">
        <w:rPr>
          <w:i/>
          <w:iCs/>
          <w:lang w:val="en-US"/>
        </w:rPr>
        <w:t xml:space="preserve"> Version </w:t>
      </w:r>
      <w:r w:rsidR="00E32E14">
        <w:rPr>
          <w:i/>
          <w:iCs/>
          <w:lang w:val="en-US"/>
        </w:rPr>
        <w:t>3</w:t>
      </w:r>
      <w:r w:rsidR="00A33555" w:rsidRPr="00A33555">
        <w:rPr>
          <w:i/>
          <w:iCs/>
          <w:lang w:val="en-US"/>
        </w:rPr>
        <w:t>.</w:t>
      </w:r>
      <w:r w:rsidR="00A33555">
        <w:rPr>
          <w:lang w:val="en-US"/>
        </w:rPr>
        <w:t xml:space="preserve"> Franklin University Switzerland (FUS), </w:t>
      </w:r>
      <w:proofErr w:type="spellStart"/>
      <w:r w:rsidR="00A33555">
        <w:rPr>
          <w:lang w:val="en-US"/>
        </w:rPr>
        <w:t>Sorengo</w:t>
      </w:r>
      <w:proofErr w:type="spellEnd"/>
      <w:r w:rsidR="00A33555">
        <w:rPr>
          <w:lang w:val="en-US"/>
        </w:rPr>
        <w:t xml:space="preserve"> (Switzerland).</w:t>
      </w:r>
    </w:p>
    <w:p w14:paraId="0470B102" w14:textId="72433DD7" w:rsidR="00A33555" w:rsidRDefault="00A33555" w:rsidP="00A33555">
      <w:pPr>
        <w:rPr>
          <w:lang w:val="en-US"/>
        </w:rPr>
      </w:pPr>
    </w:p>
    <w:p w14:paraId="18A85014" w14:textId="0C14C332" w:rsidR="00A33555" w:rsidRDefault="00A33555">
      <w:pPr>
        <w:rPr>
          <w:lang w:val="en-US"/>
        </w:rPr>
      </w:pPr>
      <w:r>
        <w:rPr>
          <w:lang w:val="en-US"/>
        </w:rPr>
        <w:br w:type="page"/>
      </w:r>
    </w:p>
    <w:p w14:paraId="2404DE2C" w14:textId="12AC2B52" w:rsidR="0063764F" w:rsidRDefault="0063764F" w:rsidP="00AC6A12">
      <w:pPr>
        <w:pStyle w:val="ListParagraph"/>
        <w:numPr>
          <w:ilvl w:val="0"/>
          <w:numId w:val="1"/>
        </w:numPr>
        <w:rPr>
          <w:b/>
          <w:bCs/>
          <w:lang w:val="en-US"/>
        </w:rPr>
      </w:pPr>
      <w:r>
        <w:rPr>
          <w:b/>
          <w:bCs/>
          <w:lang w:val="en-US"/>
        </w:rPr>
        <w:lastRenderedPageBreak/>
        <w:t>Introduction</w:t>
      </w:r>
    </w:p>
    <w:p w14:paraId="1F1F95F1" w14:textId="77777777" w:rsidR="0063764F" w:rsidRDefault="0063764F" w:rsidP="0063764F">
      <w:pPr>
        <w:rPr>
          <w:lang w:val="en-US"/>
        </w:rPr>
      </w:pPr>
    </w:p>
    <w:p w14:paraId="7877C4E5" w14:textId="62F91A7C" w:rsidR="002275A5" w:rsidRDefault="0063764F" w:rsidP="0063764F">
      <w:pPr>
        <w:rPr>
          <w:lang w:val="en-US"/>
        </w:rPr>
      </w:pPr>
      <w:r w:rsidRPr="0063764F">
        <w:rPr>
          <w:lang w:val="en-US"/>
        </w:rPr>
        <w:t xml:space="preserve">The Franklin Political Risk and Opportunity Index (FRISKOP) is an initiative by Oliver </w:t>
      </w:r>
      <w:proofErr w:type="spellStart"/>
      <w:r w:rsidRPr="0063764F">
        <w:rPr>
          <w:lang w:val="en-US"/>
        </w:rPr>
        <w:t>Strijbis</w:t>
      </w:r>
      <w:proofErr w:type="spellEnd"/>
      <w:r w:rsidRPr="0063764F">
        <w:rPr>
          <w:lang w:val="en-US"/>
        </w:rPr>
        <w:t xml:space="preserve">, Bernd Bucher, and Juliette </w:t>
      </w:r>
      <w:proofErr w:type="spellStart"/>
      <w:r w:rsidRPr="0063764F">
        <w:rPr>
          <w:lang w:val="en-US"/>
        </w:rPr>
        <w:t>Schwak</w:t>
      </w:r>
      <w:proofErr w:type="spellEnd"/>
      <w:r w:rsidRPr="0063764F">
        <w:rPr>
          <w:lang w:val="en-US"/>
        </w:rPr>
        <w:t>, Professors of Political Science or Political Economy at Franklin University Switzerland (FUS). It is the first political risk index that combines quantitative measures of the probability of geopolitical events and an assessment of their potential economic impacts. This technical report describes the methodology of FRISKOP.</w:t>
      </w:r>
      <w:r>
        <w:rPr>
          <w:lang w:val="en-US"/>
        </w:rPr>
        <w:t xml:space="preserve"> Political risk is generally understood as </w:t>
      </w:r>
      <w:r w:rsidRPr="0063764F">
        <w:rPr>
          <w:lang w:val="en-US"/>
        </w:rPr>
        <w:t>any political change or event that alters the expected value of a given economic action</w:t>
      </w:r>
      <w:r>
        <w:rPr>
          <w:lang w:val="en-US"/>
        </w:rPr>
        <w:t xml:space="preserve"> </w:t>
      </w:r>
      <w:r w:rsidR="002275A5" w:rsidRPr="002275A5">
        <w:rPr>
          <w:rFonts w:ascii="Calibri" w:cs="Calibri"/>
          <w:lang w:val="en-US"/>
        </w:rPr>
        <w:t xml:space="preserve">(Bremmer and </w:t>
      </w:r>
      <w:proofErr w:type="spellStart"/>
      <w:r w:rsidR="002275A5" w:rsidRPr="002275A5">
        <w:rPr>
          <w:rFonts w:ascii="Calibri" w:cs="Calibri"/>
          <w:lang w:val="en-US"/>
        </w:rPr>
        <w:t>Keat</w:t>
      </w:r>
      <w:proofErr w:type="spellEnd"/>
      <w:r w:rsidR="002275A5" w:rsidRPr="002275A5">
        <w:rPr>
          <w:rFonts w:ascii="Calibri" w:cs="Calibri"/>
          <w:lang w:val="en-US"/>
        </w:rPr>
        <w:t xml:space="preserve"> 2010; Gould-Davies 2019; McKellar 2017; </w:t>
      </w:r>
      <w:proofErr w:type="spellStart"/>
      <w:r w:rsidR="002275A5" w:rsidRPr="002275A5">
        <w:rPr>
          <w:rFonts w:ascii="Calibri" w:cs="Calibri"/>
          <w:lang w:val="en-US"/>
        </w:rPr>
        <w:t>Toksöz</w:t>
      </w:r>
      <w:proofErr w:type="spellEnd"/>
      <w:r w:rsidR="002275A5" w:rsidRPr="002275A5">
        <w:rPr>
          <w:rFonts w:ascii="Calibri" w:cs="Calibri"/>
          <w:lang w:val="en-US"/>
        </w:rPr>
        <w:t xml:space="preserve"> 2014)</w:t>
      </w:r>
      <w:r>
        <w:rPr>
          <w:lang w:val="en-US"/>
        </w:rPr>
        <w:t>.</w:t>
      </w:r>
      <w:r w:rsidRPr="0063764F">
        <w:rPr>
          <w:lang w:val="en-US"/>
        </w:rPr>
        <w:t xml:space="preserve"> FRISKOP conceptualizes political risk </w:t>
      </w:r>
      <w:r w:rsidR="002275A5">
        <w:rPr>
          <w:lang w:val="en-US"/>
        </w:rPr>
        <w:t>more specifically as</w:t>
      </w:r>
      <w:r w:rsidRPr="0063764F">
        <w:rPr>
          <w:lang w:val="en-US"/>
        </w:rPr>
        <w:t xml:space="preserve"> the combination of the probability of a political event happening and its potential impact on the economy.</w:t>
      </w:r>
      <w:r w:rsidR="002275A5">
        <w:rPr>
          <w:lang w:val="en-US"/>
        </w:rPr>
        <w:t xml:space="preserve"> Here it is similar to best practice in the industry that also combines estimates of probabilities for political scenarios and their expected impact on the economy (</w:t>
      </w:r>
      <w:proofErr w:type="gramStart"/>
      <w:r w:rsidR="002275A5">
        <w:rPr>
          <w:lang w:val="en-US"/>
        </w:rPr>
        <w:t>e.g.</w:t>
      </w:r>
      <w:proofErr w:type="gramEnd"/>
      <w:r w:rsidR="002275A5">
        <w:rPr>
          <w:lang w:val="en-US"/>
        </w:rPr>
        <w:t xml:space="preserve"> EIU 2022; BlackRock 2022). However, in contrast to the available risk indices FRISKOP fully quantifies both the likelihood of geopolitical events, its potential economic impact, and – most importantly – its interaction.</w:t>
      </w:r>
    </w:p>
    <w:p w14:paraId="15FFDB3E" w14:textId="77777777" w:rsidR="002275A5" w:rsidRDefault="002275A5" w:rsidP="0063764F">
      <w:pPr>
        <w:rPr>
          <w:lang w:val="en-US"/>
        </w:rPr>
      </w:pPr>
    </w:p>
    <w:p w14:paraId="4B570F1F" w14:textId="3B9ABEB5" w:rsidR="0063764F" w:rsidRPr="0063764F" w:rsidRDefault="0063764F" w:rsidP="0063764F">
      <w:pPr>
        <w:rPr>
          <w:lang w:val="en-US"/>
        </w:rPr>
      </w:pPr>
      <w:r w:rsidRPr="0063764F">
        <w:rPr>
          <w:lang w:val="en-US"/>
        </w:rPr>
        <w:t>This documentation is divided into three parts: First, it is described how the likelihood of events is estimated. Second, we make transparent how we measure the potential economic impact of these political events. Finally, we describe how we combine the two pieces of information into one index.</w:t>
      </w:r>
    </w:p>
    <w:p w14:paraId="1D8B3873" w14:textId="77777777" w:rsidR="0063764F" w:rsidRPr="0063764F" w:rsidRDefault="0063764F" w:rsidP="0063764F">
      <w:pPr>
        <w:rPr>
          <w:b/>
          <w:bCs/>
          <w:lang w:val="en-US"/>
        </w:rPr>
      </w:pPr>
    </w:p>
    <w:p w14:paraId="281CE2E0" w14:textId="77777777" w:rsidR="0063764F" w:rsidRDefault="0063764F">
      <w:pPr>
        <w:rPr>
          <w:b/>
          <w:bCs/>
          <w:highlight w:val="lightGray"/>
          <w:lang w:val="en-US"/>
        </w:rPr>
      </w:pPr>
      <w:r>
        <w:rPr>
          <w:b/>
          <w:bCs/>
          <w:highlight w:val="lightGray"/>
          <w:lang w:val="en-US"/>
        </w:rPr>
        <w:br w:type="page"/>
      </w:r>
    </w:p>
    <w:p w14:paraId="139103EC" w14:textId="51864BF5" w:rsidR="00A33555" w:rsidRPr="0063764F" w:rsidRDefault="00A33555" w:rsidP="0063764F">
      <w:pPr>
        <w:pStyle w:val="ListParagraph"/>
        <w:numPr>
          <w:ilvl w:val="0"/>
          <w:numId w:val="1"/>
        </w:numPr>
        <w:rPr>
          <w:b/>
          <w:bCs/>
          <w:lang w:val="en-US"/>
        </w:rPr>
      </w:pPr>
      <w:r w:rsidRPr="0063764F">
        <w:rPr>
          <w:b/>
          <w:bCs/>
          <w:lang w:val="en-US"/>
        </w:rPr>
        <w:lastRenderedPageBreak/>
        <w:t>Probability of political events</w:t>
      </w:r>
    </w:p>
    <w:p w14:paraId="71621BFB" w14:textId="5BD86C9C" w:rsidR="00A33555" w:rsidRDefault="00A33555" w:rsidP="00A33555">
      <w:pPr>
        <w:rPr>
          <w:lang w:val="en-US"/>
        </w:rPr>
      </w:pPr>
    </w:p>
    <w:p w14:paraId="5E38DF66" w14:textId="7818177A" w:rsidR="00AC6A12" w:rsidRDefault="00A33555" w:rsidP="00AC6A12">
      <w:pPr>
        <w:rPr>
          <w:lang w:val="en-US"/>
        </w:rPr>
      </w:pPr>
      <w:r>
        <w:rPr>
          <w:lang w:val="en-US"/>
        </w:rPr>
        <w:t xml:space="preserve">FRISKOP bases its selection of events and the probability attached to it from </w:t>
      </w:r>
      <w:r w:rsidRPr="004106CC">
        <w:rPr>
          <w:i/>
          <w:iCs/>
          <w:lang w:val="en-US"/>
        </w:rPr>
        <w:t>A Prediction Market with Integrated Algorithms (PREMIA)</w:t>
      </w:r>
      <w:r>
        <w:rPr>
          <w:lang w:val="en-US"/>
        </w:rPr>
        <w:t xml:space="preserve"> – a research project at the University of Zurich (see </w:t>
      </w:r>
      <w:hyperlink r:id="rId9" w:history="1">
        <w:r w:rsidRPr="004A38AA">
          <w:rPr>
            <w:rStyle w:val="Hyperlink"/>
            <w:lang w:val="en-US"/>
          </w:rPr>
          <w:t>www.premia-forecasts.com</w:t>
        </w:r>
      </w:hyperlink>
      <w:r>
        <w:rPr>
          <w:lang w:val="en-US"/>
        </w:rPr>
        <w:t xml:space="preserve">). </w:t>
      </w:r>
      <w:r w:rsidR="00AC6A12" w:rsidRPr="00AC6A12">
        <w:rPr>
          <w:lang w:val="en-US"/>
        </w:rPr>
        <w:t xml:space="preserve">Prediction markets are virtual stock markets, which use the information contained in market values to make forecasts. </w:t>
      </w:r>
      <w:r w:rsidR="00AC6A12">
        <w:rPr>
          <w:lang w:val="en-US"/>
        </w:rPr>
        <w:t>P</w:t>
      </w:r>
      <w:r w:rsidR="00AC6A12" w:rsidRPr="00AC6A12">
        <w:rPr>
          <w:lang w:val="en-US"/>
        </w:rPr>
        <w:t xml:space="preserve">rediction markets have proven themselves in the prediction of elections in the USA </w:t>
      </w:r>
      <w:bookmarkStart w:id="0" w:name="__Fieldmark__269_1786548401"/>
      <w:r w:rsidR="00AC6A12" w:rsidRPr="00AC6A12">
        <w:rPr>
          <w:lang w:val="en-US"/>
        </w:rPr>
        <w:t xml:space="preserve">(Berg, Nelson, and </w:t>
      </w:r>
      <w:proofErr w:type="spellStart"/>
      <w:r w:rsidR="00AC6A12" w:rsidRPr="00AC6A12">
        <w:rPr>
          <w:lang w:val="en-US"/>
        </w:rPr>
        <w:t>Rietz</w:t>
      </w:r>
      <w:proofErr w:type="spellEnd"/>
      <w:r w:rsidR="00AC6A12" w:rsidRPr="00AC6A12">
        <w:rPr>
          <w:lang w:val="en-US"/>
        </w:rPr>
        <w:t xml:space="preserve"> 2003, 2008</w:t>
      </w:r>
      <w:r w:rsidR="0014416F">
        <w:rPr>
          <w:lang w:val="en-US"/>
        </w:rPr>
        <w:t xml:space="preserve">, </w:t>
      </w:r>
      <w:r w:rsidR="00C62034">
        <w:rPr>
          <w:lang w:val="en-US"/>
        </w:rPr>
        <w:t>Berg et al. 2008</w:t>
      </w:r>
      <w:r w:rsidR="00AC6A12" w:rsidRPr="00AC6A12">
        <w:rPr>
          <w:lang w:val="en-US"/>
        </w:rPr>
        <w:t>)</w:t>
      </w:r>
      <w:bookmarkEnd w:id="0"/>
      <w:r w:rsidR="00AC6A12" w:rsidRPr="00AC6A12">
        <w:rPr>
          <w:lang w:val="en-US"/>
        </w:rPr>
        <w:t xml:space="preserve"> and been widely used in Europe to predict election results where they have outperformed other forecasting models based on polls, expert panels, and economic indicators </w:t>
      </w:r>
      <w:bookmarkStart w:id="1" w:name="__Fieldmark__277_1786548401"/>
      <w:r w:rsidR="00AC6A12" w:rsidRPr="00AC6A12">
        <w:rPr>
          <w:lang w:val="en-US"/>
        </w:rPr>
        <w:t>(</w:t>
      </w:r>
      <w:proofErr w:type="spellStart"/>
      <w:r w:rsidR="00AC6A12" w:rsidRPr="00AC6A12">
        <w:rPr>
          <w:lang w:val="en-US"/>
        </w:rPr>
        <w:t>Graefe</w:t>
      </w:r>
      <w:proofErr w:type="spellEnd"/>
      <w:r w:rsidR="00AC6A12" w:rsidRPr="00AC6A12">
        <w:rPr>
          <w:lang w:val="en-US"/>
        </w:rPr>
        <w:t xml:space="preserve"> 2017)</w:t>
      </w:r>
      <w:bookmarkEnd w:id="1"/>
      <w:r w:rsidR="00AC6A12" w:rsidRPr="00AC6A12">
        <w:rPr>
          <w:lang w:val="en-US"/>
        </w:rPr>
        <w:t>.</w:t>
      </w:r>
      <w:r w:rsidR="004106CC">
        <w:rPr>
          <w:lang w:val="en-US"/>
        </w:rPr>
        <w:t xml:space="preserve"> Prediction markets have also been successfully </w:t>
      </w:r>
      <w:r w:rsidR="004106CC" w:rsidRPr="004106CC">
        <w:rPr>
          <w:lang w:val="en-US"/>
        </w:rPr>
        <w:t xml:space="preserve">applied to forecast the success of replication studies in social and behavioral science (Gordon et al. 2021) </w:t>
      </w:r>
      <w:r w:rsidR="004106CC">
        <w:rPr>
          <w:lang w:val="en-US"/>
        </w:rPr>
        <w:t xml:space="preserve">and to migration movements (Morgenstern and </w:t>
      </w:r>
      <w:proofErr w:type="spellStart"/>
      <w:r w:rsidR="004106CC">
        <w:rPr>
          <w:lang w:val="en-US"/>
        </w:rPr>
        <w:t>Strijbis</w:t>
      </w:r>
      <w:proofErr w:type="spellEnd"/>
      <w:r w:rsidR="004106CC">
        <w:rPr>
          <w:lang w:val="en-US"/>
        </w:rPr>
        <w:t xml:space="preserve">, </w:t>
      </w:r>
      <w:r w:rsidR="0014416F">
        <w:rPr>
          <w:lang w:val="en-US"/>
        </w:rPr>
        <w:t>under review</w:t>
      </w:r>
      <w:r w:rsidR="004106CC">
        <w:rPr>
          <w:lang w:val="en-US"/>
        </w:rPr>
        <w:t>), among others.</w:t>
      </w:r>
    </w:p>
    <w:p w14:paraId="7DCB452C" w14:textId="77777777" w:rsidR="00AC6A12" w:rsidRDefault="00AC6A12" w:rsidP="00A33555">
      <w:pPr>
        <w:rPr>
          <w:lang w:val="en-US"/>
        </w:rPr>
      </w:pPr>
    </w:p>
    <w:p w14:paraId="18CB8367" w14:textId="0D3EA975" w:rsidR="00A33555" w:rsidRDefault="00AC6A12" w:rsidP="00A33555">
      <w:pPr>
        <w:rPr>
          <w:lang w:val="en-US"/>
        </w:rPr>
      </w:pPr>
      <w:r>
        <w:rPr>
          <w:lang w:val="en-US"/>
        </w:rPr>
        <w:t xml:space="preserve">FRISKOP accesses PREMIA’s prediction market on geopolitical events by choosing political events and derives their probability estimates from their website. </w:t>
      </w:r>
      <w:r w:rsidR="00A33555">
        <w:rPr>
          <w:lang w:val="en-US"/>
        </w:rPr>
        <w:t xml:space="preserve">FRISKOP does not cover all events, but selects events that would have a particularly strong impact on the global economy. The impact of the events, in case they materialize, on the global economy is estimated in two steps. In a first step, the authors select </w:t>
      </w:r>
      <w:r>
        <w:rPr>
          <w:lang w:val="en-US"/>
        </w:rPr>
        <w:t>around</w:t>
      </w:r>
      <w:r w:rsidR="00A33555">
        <w:rPr>
          <w:lang w:val="en-US"/>
        </w:rPr>
        <w:t xml:space="preserve"> 30 events that they </w:t>
      </w:r>
      <w:r>
        <w:rPr>
          <w:lang w:val="en-US"/>
        </w:rPr>
        <w:t>judge to have the highest potential impact (positive and negative) on the global economy. Among the 30 events approximately 20 events with very strong potential negative effects are chosen and among 10 with potentially very positive effects. In a second step, they present this selection of events to an expert panel that rates the potential economic impact of the events (see section 2: Expert ratings on economic impact).</w:t>
      </w:r>
    </w:p>
    <w:p w14:paraId="37F7AA32" w14:textId="33491EF3" w:rsidR="00AC6A12" w:rsidRDefault="00AC6A12" w:rsidP="00A33555">
      <w:pPr>
        <w:rPr>
          <w:lang w:val="en-US"/>
        </w:rPr>
      </w:pPr>
    </w:p>
    <w:p w14:paraId="17352181" w14:textId="3D875CA1" w:rsidR="00AC6A12" w:rsidRDefault="00AC6A12" w:rsidP="00A33555">
      <w:pPr>
        <w:rPr>
          <w:lang w:val="en-US"/>
        </w:rPr>
      </w:pPr>
      <w:r>
        <w:rPr>
          <w:lang w:val="en-US"/>
        </w:rPr>
        <w:t xml:space="preserve">For its monthly FRISKOP ranking, it calculates the probability of the political events </w:t>
      </w:r>
      <w:r w:rsidR="003A3F39">
        <w:rPr>
          <w:lang w:val="en-US"/>
        </w:rPr>
        <w:t xml:space="preserve">by averaging PREMIAs probability </w:t>
      </w:r>
      <w:r w:rsidR="00404CB8">
        <w:rPr>
          <w:lang w:val="en-US"/>
        </w:rPr>
        <w:t>over the last week. FRISKOP might add new events at any time for its monthly updates. If probability estimates are not available over the last week, it will average the average the estimates over the last number of days for which the estimates are reported.</w:t>
      </w:r>
      <w:r w:rsidR="00C62034">
        <w:rPr>
          <w:lang w:val="en-US"/>
        </w:rPr>
        <w:t xml:space="preserve"> The probability of the selected geopolitical events ranges between 0% and 100%. However, those events with high potential impact tend to be very unlikely consisting of the “fat tail” of possible geopolitical events (</w:t>
      </w:r>
      <w:r w:rsidR="00C62034" w:rsidRPr="000169A6">
        <w:rPr>
          <w:lang w:val="en-US"/>
        </w:rPr>
        <w:t xml:space="preserve">Bremmer </w:t>
      </w:r>
      <w:r w:rsidR="00C62034">
        <w:rPr>
          <w:lang w:val="en-US"/>
        </w:rPr>
        <w:t>and</w:t>
      </w:r>
      <w:r w:rsidR="00C62034" w:rsidRPr="000169A6">
        <w:rPr>
          <w:lang w:val="en-US"/>
        </w:rPr>
        <w:t xml:space="preserve"> </w:t>
      </w:r>
      <w:proofErr w:type="spellStart"/>
      <w:r w:rsidR="00C62034" w:rsidRPr="000169A6">
        <w:rPr>
          <w:lang w:val="en-US"/>
        </w:rPr>
        <w:t>Keat</w:t>
      </w:r>
      <w:proofErr w:type="spellEnd"/>
      <w:r w:rsidR="00C62034" w:rsidRPr="000169A6">
        <w:rPr>
          <w:lang w:val="en-US"/>
        </w:rPr>
        <w:t xml:space="preserve"> 2010)</w:t>
      </w:r>
      <w:r w:rsidR="00C62034">
        <w:rPr>
          <w:lang w:val="en-US"/>
        </w:rPr>
        <w:t>. Consequently, we can expect the events to have a mean probability that is clearly lower than 50%. Our estimate based on previous forecasts on geopolitical events is that the mean probability will be around 25%.</w:t>
      </w:r>
    </w:p>
    <w:p w14:paraId="476B3301" w14:textId="77777777" w:rsidR="00AC6A12" w:rsidRDefault="00AC6A12" w:rsidP="00A33555">
      <w:pPr>
        <w:rPr>
          <w:lang w:val="en-US"/>
        </w:rPr>
      </w:pPr>
    </w:p>
    <w:p w14:paraId="79B5DED7" w14:textId="5132DFE1" w:rsidR="00AC6A12" w:rsidRDefault="00AC6A12" w:rsidP="00A33555">
      <w:pPr>
        <w:rPr>
          <w:lang w:val="en-US"/>
        </w:rPr>
      </w:pPr>
    </w:p>
    <w:p w14:paraId="27C3ABA8" w14:textId="36B8BC74" w:rsidR="00AC6A12" w:rsidRPr="00C62034" w:rsidRDefault="00404CB8" w:rsidP="00C62034">
      <w:pPr>
        <w:pStyle w:val="ListParagraph"/>
        <w:numPr>
          <w:ilvl w:val="0"/>
          <w:numId w:val="1"/>
        </w:numPr>
        <w:rPr>
          <w:b/>
          <w:bCs/>
          <w:lang w:val="en-US"/>
        </w:rPr>
      </w:pPr>
      <w:r w:rsidRPr="00C62034">
        <w:rPr>
          <w:b/>
          <w:bCs/>
          <w:lang w:val="en-US"/>
        </w:rPr>
        <w:t>Expert survey on the hypothetical economic impact</w:t>
      </w:r>
    </w:p>
    <w:p w14:paraId="225647B2" w14:textId="77625F8C" w:rsidR="00404CB8" w:rsidRDefault="00404CB8" w:rsidP="00404CB8">
      <w:pPr>
        <w:rPr>
          <w:b/>
          <w:bCs/>
          <w:lang w:val="en-US"/>
        </w:rPr>
      </w:pPr>
    </w:p>
    <w:p w14:paraId="3B4E6A4E" w14:textId="2334ED85" w:rsidR="00404CB8" w:rsidRDefault="00404CB8" w:rsidP="00404CB8">
      <w:pPr>
        <w:rPr>
          <w:lang w:val="en-US"/>
        </w:rPr>
      </w:pPr>
      <w:r w:rsidRPr="00404CB8">
        <w:rPr>
          <w:lang w:val="en-US"/>
        </w:rPr>
        <w:t xml:space="preserve">In order to estimate the economic impact of the political events selected in the first stage (see above), we conduct an expert survey. </w:t>
      </w:r>
      <w:r>
        <w:rPr>
          <w:lang w:val="en-US"/>
        </w:rPr>
        <w:t xml:space="preserve">Between 50 and 100 experts on political economy, international relations, and politics from academia, business, and state agencies are asked every six months to fill in a survey. The experts are selected based on the large professional networks of the authors. </w:t>
      </w:r>
      <w:r w:rsidR="004106CC">
        <w:rPr>
          <w:lang w:val="en-US"/>
        </w:rPr>
        <w:t>Expert surveys tend to have low response rate, but due to the personal contacts to the selected experts, response rate is expected to be around 50%. Hence, we expect to be able to count on the expertise of 25 to 50 experts for each survey. We will provide basic information about the experts (</w:t>
      </w:r>
      <w:proofErr w:type="gramStart"/>
      <w:r w:rsidR="004106CC">
        <w:rPr>
          <w:lang w:val="en-US"/>
        </w:rPr>
        <w:t>e.g.</w:t>
      </w:r>
      <w:proofErr w:type="gramEnd"/>
      <w:r w:rsidR="004106CC">
        <w:rPr>
          <w:lang w:val="en-US"/>
        </w:rPr>
        <w:t xml:space="preserve"> gender, industry, discipline) and</w:t>
      </w:r>
      <w:r>
        <w:rPr>
          <w:lang w:val="en-US"/>
        </w:rPr>
        <w:t xml:space="preserve"> list</w:t>
      </w:r>
      <w:r w:rsidR="004106CC">
        <w:rPr>
          <w:lang w:val="en-US"/>
        </w:rPr>
        <w:t xml:space="preserve"> those</w:t>
      </w:r>
      <w:r>
        <w:rPr>
          <w:lang w:val="en-US"/>
        </w:rPr>
        <w:t xml:space="preserve"> </w:t>
      </w:r>
      <w:r w:rsidR="004106CC">
        <w:rPr>
          <w:lang w:val="en-US"/>
        </w:rPr>
        <w:t>that do not insist on</w:t>
      </w:r>
      <w:r>
        <w:rPr>
          <w:lang w:val="en-US"/>
        </w:rPr>
        <w:t xml:space="preserve"> remain</w:t>
      </w:r>
      <w:r w:rsidR="004106CC">
        <w:rPr>
          <w:lang w:val="en-US"/>
        </w:rPr>
        <w:t>ing</w:t>
      </w:r>
      <w:r>
        <w:rPr>
          <w:lang w:val="en-US"/>
        </w:rPr>
        <w:t xml:space="preserve"> anonymous.</w:t>
      </w:r>
    </w:p>
    <w:p w14:paraId="2124D958" w14:textId="77777777" w:rsidR="00404CB8" w:rsidRDefault="00404CB8" w:rsidP="00404CB8">
      <w:pPr>
        <w:rPr>
          <w:lang w:val="en-US"/>
        </w:rPr>
      </w:pPr>
    </w:p>
    <w:p w14:paraId="27F9EA59" w14:textId="5713A877" w:rsidR="00677F8C" w:rsidRDefault="003124C2" w:rsidP="002A765C">
      <w:pPr>
        <w:rPr>
          <w:lang w:val="en-US"/>
        </w:rPr>
      </w:pPr>
      <w:r>
        <w:rPr>
          <w:lang w:val="en-US"/>
        </w:rPr>
        <w:lastRenderedPageBreak/>
        <w:t>Experts engage in rating of paired comparisons</w:t>
      </w:r>
      <w:r w:rsidR="00677F8C">
        <w:rPr>
          <w:lang w:val="en-US"/>
        </w:rPr>
        <w:t xml:space="preserve"> of the political events that we have chosen in a first step (see section 1: Probability of political events). Experts are asked for ten pairs of events the question: “</w:t>
      </w:r>
      <w:r w:rsidR="002A765C" w:rsidRPr="002A765C">
        <w:rPr>
          <w:lang w:val="en-US"/>
        </w:rPr>
        <w:t>Which of two events impacts global economy more negatively?</w:t>
      </w:r>
      <w:r w:rsidR="002A765C">
        <w:rPr>
          <w:lang w:val="en-US"/>
        </w:rPr>
        <w:t xml:space="preserve"> </w:t>
      </w:r>
      <w:r w:rsidR="002A765C" w:rsidRPr="002A765C">
        <w:rPr>
          <w:lang w:val="en-US"/>
        </w:rPr>
        <w:t xml:space="preserve">In the following, we will present you with ten pairs of political events. For each pair, we would like you to choose the event (should it take place) that would have the more negative (or less positive) overall effect on the global economy over the next year. By ‘global economy’, we refer in particular to central macroeconomic indicators such as </w:t>
      </w:r>
      <w:proofErr w:type="spellStart"/>
      <w:r w:rsidR="002A765C" w:rsidRPr="002A765C">
        <w:rPr>
          <w:lang w:val="en-US"/>
        </w:rPr>
        <w:t>gdp</w:t>
      </w:r>
      <w:proofErr w:type="spellEnd"/>
      <w:r w:rsidR="002A765C" w:rsidRPr="002A765C">
        <w:rPr>
          <w:lang w:val="en-US"/>
        </w:rPr>
        <w:t xml:space="preserve"> growth, unemployment, inflation, and sovereign debt.</w:t>
      </w:r>
      <w:r w:rsidR="002A765C">
        <w:rPr>
          <w:lang w:val="en-US"/>
        </w:rPr>
        <w:t xml:space="preserve"> </w:t>
      </w:r>
      <w:r w:rsidR="002A765C" w:rsidRPr="002A765C">
        <w:rPr>
          <w:lang w:val="en-US"/>
        </w:rPr>
        <w:t>If you think that no clear answer is possible, please choose the event of which you think it would have a more negative effect on the S&amp;P 500.</w:t>
      </w:r>
      <w:r w:rsidR="00677F8C">
        <w:rPr>
          <w:lang w:val="en-US"/>
        </w:rPr>
        <w:t>” The experts receive ten pairs of descriptions of political events that are randomly chosen among a larger set of events.</w:t>
      </w:r>
      <w:r w:rsidR="002A765C">
        <w:rPr>
          <w:lang w:val="en-US"/>
        </w:rPr>
        <w:t xml:space="preserve"> </w:t>
      </w:r>
      <w:r w:rsidR="002A765C" w:rsidRPr="002A765C">
        <w:rPr>
          <w:lang w:val="en-US"/>
        </w:rPr>
        <w:t>While political events can have positive effects on one set of indicators, they can at the same time have a negative impact on other indicators and thus cancel each other out.</w:t>
      </w:r>
      <w:r w:rsidR="002A765C">
        <w:rPr>
          <w:lang w:val="en-US"/>
        </w:rPr>
        <w:t xml:space="preserve"> This is why we add the option to rely on its effect on the S&amp;P 500 instead. Here we follow the idea that the state of the global economy is approximated by very general financial indices</w:t>
      </w:r>
      <w:r w:rsidR="0063764F">
        <w:rPr>
          <w:lang w:val="en-US"/>
        </w:rPr>
        <w:t xml:space="preserve"> and are inspired by the empirical analysis in Caldara and </w:t>
      </w:r>
      <w:proofErr w:type="spellStart"/>
      <w:r w:rsidR="0063764F">
        <w:rPr>
          <w:lang w:val="en-US"/>
        </w:rPr>
        <w:t>Iacoviello</w:t>
      </w:r>
      <w:proofErr w:type="spellEnd"/>
      <w:r w:rsidR="0063764F">
        <w:rPr>
          <w:lang w:val="en-US"/>
        </w:rPr>
        <w:t xml:space="preserve"> (2022) </w:t>
      </w:r>
    </w:p>
    <w:p w14:paraId="5178163E" w14:textId="77777777" w:rsidR="00677F8C" w:rsidRDefault="00677F8C" w:rsidP="00677F8C">
      <w:pPr>
        <w:rPr>
          <w:lang w:val="en-US"/>
        </w:rPr>
      </w:pPr>
    </w:p>
    <w:p w14:paraId="7E89BF7D" w14:textId="4B2B09A1" w:rsidR="003124C2" w:rsidRDefault="00677F8C" w:rsidP="00677F8C">
      <w:pPr>
        <w:rPr>
          <w:lang w:val="en-US"/>
        </w:rPr>
      </w:pPr>
      <w:r>
        <w:rPr>
          <w:lang w:val="en-US"/>
        </w:rPr>
        <w:t>Based on the pair-wise comparisons, w</w:t>
      </w:r>
      <w:r w:rsidR="003124C2">
        <w:rPr>
          <w:lang w:val="en-US"/>
        </w:rPr>
        <w:t>e calculate the relative frequency with which the events are rated as having a more negative effect</w:t>
      </w:r>
      <w:r>
        <w:rPr>
          <w:lang w:val="en-US"/>
        </w:rPr>
        <w:t xml:space="preserve"> relative to the comparison group.</w:t>
      </w:r>
      <w:r w:rsidR="003124C2">
        <w:rPr>
          <w:lang w:val="en-US"/>
        </w:rPr>
        <w:t xml:space="preserve"> </w:t>
      </w:r>
      <w:r>
        <w:rPr>
          <w:lang w:val="en-US"/>
        </w:rPr>
        <w:t>This gives us a standardized ranking from most positive effect (0) to most negative effect (1).</w:t>
      </w:r>
      <w:r w:rsidR="00324652">
        <w:rPr>
          <w:lang w:val="en-US"/>
        </w:rPr>
        <w:t xml:space="preserve"> Based from this distribution and our assumption about which events should have a positive impact on world economy, we recategorize the events in to such having strongly negative impact, negative impact, inconsequential, and positive impact. We categorize those as </w:t>
      </w:r>
      <w:r w:rsidR="00517911">
        <w:rPr>
          <w:lang w:val="en-US"/>
        </w:rPr>
        <w:t>“</w:t>
      </w:r>
      <w:r w:rsidR="00324652">
        <w:rPr>
          <w:lang w:val="en-US"/>
        </w:rPr>
        <w:t>strongly negative</w:t>
      </w:r>
      <w:r w:rsidR="00517911">
        <w:rPr>
          <w:lang w:val="en-US"/>
        </w:rPr>
        <w:t>”</w:t>
      </w:r>
      <w:r w:rsidR="00324652">
        <w:rPr>
          <w:lang w:val="en-US"/>
        </w:rPr>
        <w:t xml:space="preserve"> that we have pre-selected as events with negative impact and that were among those also rated by the expert as having most negative effect. We draw the boundaries to events with (only) negative effect </w:t>
      </w:r>
      <w:r w:rsidR="00517911">
        <w:rPr>
          <w:lang w:val="en-US"/>
        </w:rPr>
        <w:t>at around the</w:t>
      </w:r>
      <w:r w:rsidR="00324652">
        <w:rPr>
          <w:lang w:val="en-US"/>
        </w:rPr>
        <w:t xml:space="preserve"> </w:t>
      </w:r>
      <w:r w:rsidR="00517911">
        <w:rPr>
          <w:lang w:val="en-US"/>
        </w:rPr>
        <w:t xml:space="preserve">upper </w:t>
      </w:r>
      <w:r w:rsidR="00324652">
        <w:rPr>
          <w:lang w:val="en-US"/>
        </w:rPr>
        <w:t>75</w:t>
      </w:r>
      <w:r w:rsidR="00517911">
        <w:rPr>
          <w:lang w:val="en-US"/>
        </w:rPr>
        <w:t>% of the distribution. However, we take clusters into account: In case there is a group of events with similar</w:t>
      </w:r>
      <w:r w:rsidR="001F4039">
        <w:rPr>
          <w:lang w:val="en-US"/>
        </w:rPr>
        <w:t>ly</w:t>
      </w:r>
      <w:r w:rsidR="00517911">
        <w:rPr>
          <w:lang w:val="en-US"/>
        </w:rPr>
        <w:t xml:space="preserve"> high values</w:t>
      </w:r>
      <w:r w:rsidR="001F4039">
        <w:rPr>
          <w:lang w:val="en-US"/>
        </w:rPr>
        <w:t>,</w:t>
      </w:r>
      <w:r w:rsidR="00517911">
        <w:rPr>
          <w:lang w:val="en-US"/>
        </w:rPr>
        <w:t xml:space="preserve"> we group them together even if the boundary results to be somewhat lower or higher than </w:t>
      </w:r>
      <w:r w:rsidR="00B424B4">
        <w:rPr>
          <w:lang w:val="en-US"/>
        </w:rPr>
        <w:t xml:space="preserve">the </w:t>
      </w:r>
      <w:r w:rsidR="00517911">
        <w:rPr>
          <w:lang w:val="en-US"/>
        </w:rPr>
        <w:t>75</w:t>
      </w:r>
      <w:r w:rsidR="00B424B4">
        <w:rPr>
          <w:lang w:val="en-US"/>
        </w:rPr>
        <w:t>th</w:t>
      </w:r>
      <w:r w:rsidR="00517911">
        <w:rPr>
          <w:lang w:val="en-US"/>
        </w:rPr>
        <w:t xml:space="preserve"> </w:t>
      </w:r>
      <w:r w:rsidR="00B424B4">
        <w:rPr>
          <w:lang w:val="en-US"/>
        </w:rPr>
        <w:t>percentile</w:t>
      </w:r>
      <w:r w:rsidR="00517911">
        <w:rPr>
          <w:lang w:val="en-US"/>
        </w:rPr>
        <w:t>. According to the same method</w:t>
      </w:r>
      <w:r w:rsidR="001F4039">
        <w:rPr>
          <w:lang w:val="en-US"/>
        </w:rPr>
        <w:t>,</w:t>
      </w:r>
      <w:r w:rsidR="00517911">
        <w:rPr>
          <w:lang w:val="en-US"/>
        </w:rPr>
        <w:t xml:space="preserve"> we rate the next group of events that cluster around the upper 50% to 75% of the distribution as (only) “negative” impact. The events that are around the lower 25% to 50% of the scale are categorized as </w:t>
      </w:r>
      <w:r w:rsidR="00B424B4">
        <w:rPr>
          <w:lang w:val="en-US"/>
        </w:rPr>
        <w:t>“</w:t>
      </w:r>
      <w:r w:rsidR="00517911">
        <w:rPr>
          <w:lang w:val="en-US"/>
        </w:rPr>
        <w:t>inconsequential</w:t>
      </w:r>
      <w:r w:rsidR="00B424B4">
        <w:rPr>
          <w:lang w:val="en-US"/>
        </w:rPr>
        <w:t>”</w:t>
      </w:r>
      <w:r w:rsidR="00517911">
        <w:rPr>
          <w:lang w:val="en-US"/>
        </w:rPr>
        <w:t>. Finally, we categorize the events that we have pre-categorized as opportunities and that receive scores that among the lowest 25% are rated as having a “positive” impact. Again, we do not draw a strict boundary at these intervals but also consider clusters around it.</w:t>
      </w:r>
    </w:p>
    <w:p w14:paraId="1E72BBFE" w14:textId="32A2D212" w:rsidR="00517911" w:rsidRDefault="00517911" w:rsidP="00677F8C">
      <w:pPr>
        <w:rPr>
          <w:lang w:val="en-US"/>
        </w:rPr>
      </w:pPr>
    </w:p>
    <w:p w14:paraId="2B61CB5D" w14:textId="7990D543" w:rsidR="00517911" w:rsidRDefault="00517911" w:rsidP="00677F8C">
      <w:pPr>
        <w:rPr>
          <w:lang w:val="en-US"/>
        </w:rPr>
      </w:pPr>
      <w:r>
        <w:rPr>
          <w:lang w:val="en-US"/>
        </w:rPr>
        <w:t>In a final step, we assign the following scores to the categories:</w:t>
      </w:r>
    </w:p>
    <w:p w14:paraId="4452683F" w14:textId="30FF0267" w:rsidR="00517911" w:rsidRPr="000169A6" w:rsidRDefault="00517911" w:rsidP="000169A6">
      <w:pPr>
        <w:pStyle w:val="ListParagraph"/>
        <w:numPr>
          <w:ilvl w:val="0"/>
          <w:numId w:val="3"/>
        </w:numPr>
        <w:rPr>
          <w:lang w:val="en-US"/>
        </w:rPr>
      </w:pPr>
      <w:r w:rsidRPr="000169A6">
        <w:rPr>
          <w:lang w:val="en-US"/>
        </w:rPr>
        <w:t>“</w:t>
      </w:r>
      <w:proofErr w:type="gramStart"/>
      <w:r w:rsidRPr="000169A6">
        <w:rPr>
          <w:lang w:val="en-US"/>
        </w:rPr>
        <w:t>strongly</w:t>
      </w:r>
      <w:proofErr w:type="gramEnd"/>
      <w:r w:rsidRPr="000169A6">
        <w:rPr>
          <w:lang w:val="en-US"/>
        </w:rPr>
        <w:t xml:space="preserve"> negative” = 0.5</w:t>
      </w:r>
    </w:p>
    <w:p w14:paraId="420BF279" w14:textId="35ACE134" w:rsidR="00517911" w:rsidRPr="000169A6" w:rsidRDefault="00517911" w:rsidP="000169A6">
      <w:pPr>
        <w:pStyle w:val="ListParagraph"/>
        <w:numPr>
          <w:ilvl w:val="0"/>
          <w:numId w:val="3"/>
        </w:numPr>
        <w:rPr>
          <w:lang w:val="en-US"/>
        </w:rPr>
      </w:pPr>
      <w:r w:rsidRPr="000169A6">
        <w:rPr>
          <w:lang w:val="en-US"/>
        </w:rPr>
        <w:t>“negative” = 0.25</w:t>
      </w:r>
    </w:p>
    <w:p w14:paraId="44485FEE" w14:textId="70186F4D" w:rsidR="00517911" w:rsidRPr="000169A6" w:rsidRDefault="00517911" w:rsidP="000169A6">
      <w:pPr>
        <w:pStyle w:val="ListParagraph"/>
        <w:numPr>
          <w:ilvl w:val="0"/>
          <w:numId w:val="3"/>
        </w:numPr>
        <w:rPr>
          <w:lang w:val="en-US"/>
        </w:rPr>
      </w:pPr>
      <w:r w:rsidRPr="000169A6">
        <w:rPr>
          <w:lang w:val="en-US"/>
        </w:rPr>
        <w:t>“Inconsequential” = 0</w:t>
      </w:r>
    </w:p>
    <w:p w14:paraId="7472E052" w14:textId="45586822" w:rsidR="00517911" w:rsidRPr="000169A6" w:rsidRDefault="00517911" w:rsidP="000169A6">
      <w:pPr>
        <w:pStyle w:val="ListParagraph"/>
        <w:numPr>
          <w:ilvl w:val="0"/>
          <w:numId w:val="3"/>
        </w:numPr>
        <w:rPr>
          <w:lang w:val="en-US"/>
        </w:rPr>
      </w:pPr>
      <w:r w:rsidRPr="000169A6">
        <w:rPr>
          <w:lang w:val="en-US"/>
        </w:rPr>
        <w:t>“positive” = -0.5</w:t>
      </w:r>
    </w:p>
    <w:p w14:paraId="75BF68EE" w14:textId="77777777" w:rsidR="000169A6" w:rsidRDefault="000169A6" w:rsidP="00677F8C">
      <w:pPr>
        <w:rPr>
          <w:lang w:val="en-US"/>
        </w:rPr>
      </w:pPr>
    </w:p>
    <w:p w14:paraId="16CD321F" w14:textId="6B9FA6EF" w:rsidR="00517911" w:rsidRDefault="000169A6" w:rsidP="00677F8C">
      <w:pPr>
        <w:rPr>
          <w:lang w:val="en-US"/>
        </w:rPr>
      </w:pPr>
      <w:r>
        <w:rPr>
          <w:lang w:val="en-US"/>
        </w:rPr>
        <w:t>The values of these scores range between -0.</w:t>
      </w:r>
      <w:r w:rsidR="0014416F">
        <w:rPr>
          <w:lang w:val="en-US"/>
        </w:rPr>
        <w:t>5</w:t>
      </w:r>
      <w:r>
        <w:rPr>
          <w:lang w:val="en-US"/>
        </w:rPr>
        <w:t xml:space="preserve"> and 0.5 because in practice most of the events covered will have probabilities lower than 50%</w:t>
      </w:r>
      <w:r w:rsidR="00C62034">
        <w:rPr>
          <w:lang w:val="en-US"/>
        </w:rPr>
        <w:t xml:space="preserve"> and a mean probability of 25% is expected (see above)</w:t>
      </w:r>
      <w:r>
        <w:rPr>
          <w:lang w:val="en-US"/>
        </w:rPr>
        <w:t>.</w:t>
      </w:r>
      <w:r w:rsidR="0014416F">
        <w:rPr>
          <w:lang w:val="en-US"/>
        </w:rPr>
        <w:t xml:space="preserve"> </w:t>
      </w:r>
      <w:r w:rsidR="00C62034">
        <w:rPr>
          <w:lang w:val="en-US"/>
        </w:rPr>
        <w:t xml:space="preserve">Hence, when multiplying the two scales with each other to combine them, </w:t>
      </w:r>
      <w:r w:rsidR="0014416F">
        <w:rPr>
          <w:lang w:val="en-US"/>
        </w:rPr>
        <w:t xml:space="preserve">the scale </w:t>
      </w:r>
      <w:r w:rsidR="00C62034">
        <w:rPr>
          <w:lang w:val="en-US"/>
        </w:rPr>
        <w:t xml:space="preserve">will receive about the same </w:t>
      </w:r>
      <w:r w:rsidR="0014416F">
        <w:rPr>
          <w:lang w:val="en-US"/>
        </w:rPr>
        <w:t xml:space="preserve">weight (without additional standardization) </w:t>
      </w:r>
      <w:r w:rsidR="00C62034">
        <w:rPr>
          <w:lang w:val="en-US"/>
        </w:rPr>
        <w:t>as</w:t>
      </w:r>
      <w:r w:rsidR="0014416F">
        <w:rPr>
          <w:lang w:val="en-US"/>
        </w:rPr>
        <w:t xml:space="preserve"> the probability of the events.</w:t>
      </w:r>
      <w:r>
        <w:rPr>
          <w:lang w:val="en-US"/>
        </w:rPr>
        <w:t xml:space="preserve"> </w:t>
      </w:r>
    </w:p>
    <w:p w14:paraId="58B2FFD7" w14:textId="660DCB59" w:rsidR="00324652" w:rsidRDefault="00324652" w:rsidP="00677F8C">
      <w:pPr>
        <w:rPr>
          <w:lang w:val="en-US"/>
        </w:rPr>
      </w:pPr>
    </w:p>
    <w:p w14:paraId="1BF9F631" w14:textId="77777777" w:rsidR="00324652" w:rsidRDefault="00324652" w:rsidP="00324652">
      <w:pPr>
        <w:rPr>
          <w:lang w:val="en-US"/>
        </w:rPr>
      </w:pPr>
    </w:p>
    <w:p w14:paraId="5F6680F4" w14:textId="2F9B9771" w:rsidR="00324652" w:rsidRPr="00C62034" w:rsidRDefault="00324652" w:rsidP="00C62034">
      <w:pPr>
        <w:pStyle w:val="ListParagraph"/>
        <w:numPr>
          <w:ilvl w:val="0"/>
          <w:numId w:val="1"/>
        </w:numPr>
        <w:rPr>
          <w:b/>
          <w:bCs/>
          <w:lang w:val="en-US"/>
        </w:rPr>
      </w:pPr>
      <w:r w:rsidRPr="00C62034">
        <w:rPr>
          <w:b/>
          <w:bCs/>
          <w:lang w:val="en-US"/>
        </w:rPr>
        <w:lastRenderedPageBreak/>
        <w:t>Combining event probability and expected impact</w:t>
      </w:r>
    </w:p>
    <w:p w14:paraId="7A6DF198" w14:textId="77777777" w:rsidR="00324652" w:rsidRDefault="00324652" w:rsidP="00324652">
      <w:pPr>
        <w:rPr>
          <w:b/>
          <w:bCs/>
          <w:lang w:val="en-US"/>
        </w:rPr>
      </w:pPr>
    </w:p>
    <w:p w14:paraId="24D8E659" w14:textId="40D1A29E" w:rsidR="00C62034" w:rsidRDefault="00324652" w:rsidP="00677F8C">
      <w:pPr>
        <w:rPr>
          <w:lang w:val="en-US"/>
        </w:rPr>
      </w:pPr>
      <w:r w:rsidRPr="00324652">
        <w:rPr>
          <w:lang w:val="en-US"/>
        </w:rPr>
        <w:t xml:space="preserve">FRISKOP conceptualizes political risk as the combination of the probability of a political event happening and its potential impact on the economy. </w:t>
      </w:r>
      <w:r>
        <w:rPr>
          <w:lang w:val="en-US"/>
        </w:rPr>
        <w:t>Hence</w:t>
      </w:r>
      <w:r w:rsidRPr="00324652">
        <w:rPr>
          <w:lang w:val="en-US"/>
        </w:rPr>
        <w:t xml:space="preserve">, </w:t>
      </w:r>
      <w:r>
        <w:rPr>
          <w:lang w:val="en-US"/>
        </w:rPr>
        <w:t xml:space="preserve">in a final step </w:t>
      </w:r>
      <w:r w:rsidRPr="00324652">
        <w:rPr>
          <w:lang w:val="en-US"/>
        </w:rPr>
        <w:t xml:space="preserve">we </w:t>
      </w:r>
      <w:r w:rsidR="00B56E4B">
        <w:rPr>
          <w:lang w:val="en-US"/>
        </w:rPr>
        <w:t>multiply</w:t>
      </w:r>
      <w:r>
        <w:rPr>
          <w:lang w:val="en-US"/>
        </w:rPr>
        <w:t xml:space="preserve"> the two dimensions</w:t>
      </w:r>
      <w:r w:rsidRPr="00324652">
        <w:rPr>
          <w:lang w:val="en-US"/>
        </w:rPr>
        <w:t xml:space="preserve"> </w:t>
      </w:r>
      <w:r w:rsidR="00C62034">
        <w:rPr>
          <w:lang w:val="en-US"/>
        </w:rPr>
        <w:t xml:space="preserve">in order to receive </w:t>
      </w:r>
      <w:r w:rsidRPr="00324652">
        <w:rPr>
          <w:lang w:val="en-US"/>
        </w:rPr>
        <w:t>one</w:t>
      </w:r>
      <w:r>
        <w:rPr>
          <w:lang w:val="en-US"/>
        </w:rPr>
        <w:t xml:space="preserve"> risk and opportunity</w:t>
      </w:r>
      <w:r w:rsidRPr="00324652">
        <w:rPr>
          <w:lang w:val="en-US"/>
        </w:rPr>
        <w:t xml:space="preserve"> index.</w:t>
      </w:r>
      <w:r>
        <w:rPr>
          <w:lang w:val="en-US"/>
        </w:rPr>
        <w:t xml:space="preserve"> </w:t>
      </w:r>
      <w:r w:rsidR="000169A6">
        <w:rPr>
          <w:lang w:val="en-US"/>
        </w:rPr>
        <w:t xml:space="preserve">The final scores can theoretically range from -0.5 to 0.5. </w:t>
      </w:r>
      <w:r w:rsidR="00C62034">
        <w:rPr>
          <w:lang w:val="en-US"/>
        </w:rPr>
        <w:t>However, we expect the mean probability of an event happening to be around 25% (</w:t>
      </w:r>
      <w:proofErr w:type="gramStart"/>
      <w:r w:rsidR="00C62034">
        <w:rPr>
          <w:lang w:val="en-US"/>
        </w:rPr>
        <w:t>i.e.</w:t>
      </w:r>
      <w:proofErr w:type="gramEnd"/>
      <w:r w:rsidR="00C62034">
        <w:rPr>
          <w:lang w:val="en-US"/>
        </w:rPr>
        <w:t xml:space="preserve"> 0.25). Hence, we can expect the mean final score to be </w:t>
      </w:r>
      <w:r w:rsidR="00930934">
        <w:rPr>
          <w:lang w:val="en-US"/>
        </w:rPr>
        <w:t xml:space="preserve">between </w:t>
      </w:r>
      <w:r w:rsidR="00C62034">
        <w:rPr>
          <w:lang w:val="en-US"/>
        </w:rPr>
        <w:t>0.125</w:t>
      </w:r>
      <w:r w:rsidR="00930934">
        <w:rPr>
          <w:lang w:val="en-US"/>
        </w:rPr>
        <w:t xml:space="preserve"> and 0.25</w:t>
      </w:r>
      <w:r w:rsidR="00C62034">
        <w:rPr>
          <w:lang w:val="en-US"/>
        </w:rPr>
        <w:t xml:space="preserve"> for risks and -0.25 for opportunities.</w:t>
      </w:r>
    </w:p>
    <w:p w14:paraId="7E700B12" w14:textId="77777777" w:rsidR="00C62034" w:rsidRDefault="00C62034" w:rsidP="00677F8C">
      <w:pPr>
        <w:rPr>
          <w:lang w:val="en-US"/>
        </w:rPr>
      </w:pPr>
    </w:p>
    <w:p w14:paraId="3A3EF2EB" w14:textId="61C61B25" w:rsidR="00324652" w:rsidRDefault="00C62034" w:rsidP="00677F8C">
      <w:pPr>
        <w:rPr>
          <w:lang w:val="en-US"/>
        </w:rPr>
      </w:pPr>
      <w:r>
        <w:rPr>
          <w:lang w:val="en-US"/>
        </w:rPr>
        <w:t xml:space="preserve">As a final step we </w:t>
      </w:r>
      <w:r w:rsidR="000169A6">
        <w:rPr>
          <w:lang w:val="en-US"/>
        </w:rPr>
        <w:t>transform these scores into four final categories:</w:t>
      </w:r>
    </w:p>
    <w:p w14:paraId="343CFEF9" w14:textId="33BC54B4" w:rsidR="000169A6" w:rsidRDefault="000169A6" w:rsidP="000169A6">
      <w:pPr>
        <w:pStyle w:val="ListParagraph"/>
        <w:numPr>
          <w:ilvl w:val="0"/>
          <w:numId w:val="3"/>
        </w:numPr>
        <w:rPr>
          <w:lang w:val="en-US"/>
        </w:rPr>
      </w:pPr>
      <w:r w:rsidRPr="000169A6">
        <w:rPr>
          <w:lang w:val="en-US"/>
        </w:rPr>
        <w:t>“</w:t>
      </w:r>
      <w:proofErr w:type="gramStart"/>
      <w:r>
        <w:rPr>
          <w:lang w:val="en-US"/>
        </w:rPr>
        <w:t>high</w:t>
      </w:r>
      <w:proofErr w:type="gramEnd"/>
      <w:r>
        <w:rPr>
          <w:lang w:val="en-US"/>
        </w:rPr>
        <w:t xml:space="preserve"> risk</w:t>
      </w:r>
      <w:r w:rsidRPr="000169A6">
        <w:rPr>
          <w:lang w:val="en-US"/>
        </w:rPr>
        <w:t xml:space="preserve">” </w:t>
      </w:r>
      <w:r>
        <w:rPr>
          <w:lang w:val="en-US"/>
        </w:rPr>
        <w:t>≥ 0.</w:t>
      </w:r>
      <w:r w:rsidR="00787BB3">
        <w:rPr>
          <w:lang w:val="en-US"/>
        </w:rPr>
        <w:t>1</w:t>
      </w:r>
    </w:p>
    <w:p w14:paraId="63672B9D" w14:textId="4CFA45FE" w:rsidR="000169A6" w:rsidRPr="000169A6" w:rsidRDefault="000169A6" w:rsidP="000169A6">
      <w:pPr>
        <w:pStyle w:val="ListParagraph"/>
        <w:numPr>
          <w:ilvl w:val="0"/>
          <w:numId w:val="3"/>
        </w:numPr>
        <w:rPr>
          <w:lang w:val="en-US"/>
        </w:rPr>
      </w:pPr>
      <w:r>
        <w:rPr>
          <w:lang w:val="en-US"/>
        </w:rPr>
        <w:t>“risk”</w:t>
      </w:r>
      <w:r w:rsidRPr="000169A6">
        <w:rPr>
          <w:lang w:val="en-US"/>
        </w:rPr>
        <w:t xml:space="preserve"> </w:t>
      </w:r>
      <w:r>
        <w:rPr>
          <w:lang w:val="en-US"/>
        </w:rPr>
        <w:t>0.</w:t>
      </w:r>
      <w:r w:rsidR="00787BB3">
        <w:rPr>
          <w:lang w:val="en-US"/>
        </w:rPr>
        <w:t>05 to 0.999</w:t>
      </w:r>
    </w:p>
    <w:p w14:paraId="1CB216E7" w14:textId="03AAE063" w:rsidR="000169A6" w:rsidRDefault="000169A6" w:rsidP="000169A6">
      <w:pPr>
        <w:pStyle w:val="ListParagraph"/>
        <w:numPr>
          <w:ilvl w:val="0"/>
          <w:numId w:val="3"/>
        </w:numPr>
        <w:rPr>
          <w:lang w:val="en-US"/>
        </w:rPr>
      </w:pPr>
      <w:r w:rsidRPr="000169A6">
        <w:rPr>
          <w:lang w:val="en-US"/>
        </w:rPr>
        <w:t>“</w:t>
      </w:r>
      <w:r>
        <w:rPr>
          <w:lang w:val="en-US"/>
        </w:rPr>
        <w:t>minimal” -0.</w:t>
      </w:r>
      <w:r w:rsidR="00787BB3">
        <w:rPr>
          <w:lang w:val="en-US"/>
        </w:rPr>
        <w:t>0</w:t>
      </w:r>
      <w:r w:rsidR="00E32E14">
        <w:rPr>
          <w:lang w:val="en-US"/>
        </w:rPr>
        <w:t>4</w:t>
      </w:r>
      <w:r w:rsidR="00787BB3">
        <w:rPr>
          <w:lang w:val="en-US"/>
        </w:rPr>
        <w:t>9</w:t>
      </w:r>
      <w:r>
        <w:rPr>
          <w:lang w:val="en-US"/>
        </w:rPr>
        <w:t xml:space="preserve"> </w:t>
      </w:r>
      <w:r w:rsidR="006217F0">
        <w:rPr>
          <w:lang w:val="en-US"/>
        </w:rPr>
        <w:t>to 0.0</w:t>
      </w:r>
      <w:r w:rsidR="00787BB3">
        <w:rPr>
          <w:lang w:val="en-US"/>
        </w:rPr>
        <w:t>4</w:t>
      </w:r>
      <w:r w:rsidR="006217F0">
        <w:rPr>
          <w:lang w:val="en-US"/>
        </w:rPr>
        <w:t>9</w:t>
      </w:r>
    </w:p>
    <w:p w14:paraId="2A11F3D4" w14:textId="144793F3" w:rsidR="006217F0" w:rsidRPr="006217F0" w:rsidRDefault="006217F0" w:rsidP="006217F0">
      <w:pPr>
        <w:pStyle w:val="ListParagraph"/>
        <w:numPr>
          <w:ilvl w:val="0"/>
          <w:numId w:val="3"/>
        </w:numPr>
        <w:rPr>
          <w:lang w:val="en-US"/>
        </w:rPr>
      </w:pPr>
      <w:r>
        <w:rPr>
          <w:lang w:val="en-US"/>
        </w:rPr>
        <w:t xml:space="preserve">“opportunity” </w:t>
      </w:r>
      <w:r w:rsidR="005930EE">
        <w:rPr>
          <w:lang w:val="en-US"/>
        </w:rPr>
        <w:t>≤</w:t>
      </w:r>
      <w:r>
        <w:rPr>
          <w:lang w:val="en-US"/>
        </w:rPr>
        <w:t xml:space="preserve"> -0.</w:t>
      </w:r>
      <w:r w:rsidR="00E32E14">
        <w:rPr>
          <w:lang w:val="en-US"/>
        </w:rPr>
        <w:t>05</w:t>
      </w:r>
    </w:p>
    <w:p w14:paraId="5DB1AF25" w14:textId="080C3A34" w:rsidR="000169A6" w:rsidRDefault="000169A6" w:rsidP="00677F8C">
      <w:pPr>
        <w:rPr>
          <w:lang w:val="en-US"/>
        </w:rPr>
      </w:pPr>
    </w:p>
    <w:p w14:paraId="30294DED" w14:textId="61A2A694" w:rsidR="00930934" w:rsidRDefault="00435961" w:rsidP="00677F8C">
      <w:pPr>
        <w:rPr>
          <w:lang w:val="en-US"/>
        </w:rPr>
      </w:pPr>
      <w:r>
        <w:rPr>
          <w:lang w:val="en-US"/>
        </w:rPr>
        <w:t>This final scoring should do right to typical intuitions about political risk and opportunities. Table 1 shows the probabilities that events need to have in order to fall into one of the four categories based on the classification of their impacts.</w:t>
      </w:r>
      <w:r w:rsidR="00787BB3">
        <w:rPr>
          <w:lang w:val="en-US"/>
        </w:rPr>
        <w:t xml:space="preserve"> An event classified to have a very negative expected impact is considered a high risk if its probability is 20% or more. The same is true for events considered to have a negative impact if their probability is 40% or higher. Events considered highly negative are categorized as a risk if their probability is between 10% and 19.9%. The same is true for events considered negative if they have a probability of 20% to 40%. All other combinations with lower probabilities are categorized as minimal risks. An event is categorized as an opportunity if it is considered to have a positive impact and a probability to materialize of 10% or more.</w:t>
      </w:r>
    </w:p>
    <w:p w14:paraId="6D929C85" w14:textId="61ABE9D5" w:rsidR="00930934" w:rsidRDefault="00930934" w:rsidP="00677F8C">
      <w:pPr>
        <w:rPr>
          <w:lang w:val="en-US"/>
        </w:rPr>
      </w:pPr>
    </w:p>
    <w:p w14:paraId="1B367E27" w14:textId="0B413F86" w:rsidR="00930934" w:rsidRDefault="00930934" w:rsidP="00677F8C">
      <w:pPr>
        <w:rPr>
          <w:lang w:val="en-US"/>
        </w:rPr>
      </w:pPr>
      <w:r>
        <w:rPr>
          <w:lang w:val="en-US"/>
        </w:rPr>
        <w:t>Table 1: Critical values for FRISKOP categories</w:t>
      </w:r>
    </w:p>
    <w:tbl>
      <w:tblPr>
        <w:tblW w:w="9072" w:type="dxa"/>
        <w:tblLook w:val="04A0" w:firstRow="1" w:lastRow="0" w:firstColumn="1" w:lastColumn="0" w:noHBand="0" w:noVBand="1"/>
      </w:tblPr>
      <w:tblGrid>
        <w:gridCol w:w="2127"/>
        <w:gridCol w:w="2268"/>
        <w:gridCol w:w="2268"/>
        <w:gridCol w:w="2409"/>
      </w:tblGrid>
      <w:tr w:rsidR="00E32E14" w:rsidRPr="00E32E14" w14:paraId="35B42FCC" w14:textId="77777777" w:rsidTr="00E32E14">
        <w:trPr>
          <w:trHeight w:val="320"/>
        </w:trPr>
        <w:tc>
          <w:tcPr>
            <w:tcW w:w="2127" w:type="dxa"/>
            <w:tcBorders>
              <w:top w:val="single" w:sz="4" w:space="0" w:color="auto"/>
              <w:left w:val="nil"/>
              <w:bottom w:val="single" w:sz="4" w:space="0" w:color="auto"/>
              <w:right w:val="nil"/>
            </w:tcBorders>
            <w:shd w:val="clear" w:color="auto" w:fill="auto"/>
            <w:noWrap/>
            <w:vAlign w:val="bottom"/>
            <w:hideMark/>
          </w:tcPr>
          <w:p w14:paraId="6DA3B9F9" w14:textId="77777777" w:rsidR="00E32E14" w:rsidRPr="00E32E14" w:rsidRDefault="00E32E14" w:rsidP="00E32E14">
            <w:pP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Impact</w:t>
            </w:r>
          </w:p>
        </w:tc>
        <w:tc>
          <w:tcPr>
            <w:tcW w:w="2268" w:type="dxa"/>
            <w:tcBorders>
              <w:top w:val="single" w:sz="4" w:space="0" w:color="auto"/>
              <w:left w:val="nil"/>
              <w:bottom w:val="single" w:sz="4" w:space="0" w:color="auto"/>
              <w:right w:val="nil"/>
            </w:tcBorders>
            <w:shd w:val="clear" w:color="auto" w:fill="auto"/>
            <w:noWrap/>
            <w:vAlign w:val="bottom"/>
            <w:hideMark/>
          </w:tcPr>
          <w:p w14:paraId="3D228A15" w14:textId="77777777" w:rsidR="00E32E14" w:rsidRPr="00E32E14" w:rsidRDefault="00E32E14" w:rsidP="00E32E14">
            <w:pP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Probability ranges</w:t>
            </w:r>
          </w:p>
        </w:tc>
        <w:tc>
          <w:tcPr>
            <w:tcW w:w="2268" w:type="dxa"/>
            <w:tcBorders>
              <w:top w:val="single" w:sz="4" w:space="0" w:color="auto"/>
              <w:left w:val="nil"/>
              <w:bottom w:val="single" w:sz="4" w:space="0" w:color="auto"/>
              <w:right w:val="nil"/>
            </w:tcBorders>
            <w:shd w:val="clear" w:color="auto" w:fill="auto"/>
            <w:noWrap/>
            <w:vAlign w:val="bottom"/>
            <w:hideMark/>
          </w:tcPr>
          <w:p w14:paraId="71180E95" w14:textId="77777777" w:rsidR="00E32E14" w:rsidRPr="00E32E14" w:rsidRDefault="00E32E14" w:rsidP="00E32E14">
            <w:pP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FRISKOP score</w:t>
            </w:r>
          </w:p>
        </w:tc>
        <w:tc>
          <w:tcPr>
            <w:tcW w:w="2409" w:type="dxa"/>
            <w:tcBorders>
              <w:top w:val="single" w:sz="4" w:space="0" w:color="auto"/>
              <w:left w:val="nil"/>
              <w:bottom w:val="single" w:sz="4" w:space="0" w:color="auto"/>
              <w:right w:val="nil"/>
            </w:tcBorders>
            <w:shd w:val="clear" w:color="auto" w:fill="auto"/>
            <w:noWrap/>
            <w:vAlign w:val="bottom"/>
            <w:hideMark/>
          </w:tcPr>
          <w:p w14:paraId="42F46ADB" w14:textId="77777777" w:rsidR="00E32E14" w:rsidRPr="00E32E14" w:rsidRDefault="00E32E14" w:rsidP="00E32E14">
            <w:pP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FRISKOP category</w:t>
            </w:r>
          </w:p>
        </w:tc>
      </w:tr>
      <w:tr w:rsidR="00E32E14" w:rsidRPr="00E32E14" w14:paraId="349D4171" w14:textId="77777777" w:rsidTr="00E32E14">
        <w:trPr>
          <w:trHeight w:val="320"/>
        </w:trPr>
        <w:tc>
          <w:tcPr>
            <w:tcW w:w="2127" w:type="dxa"/>
            <w:tcBorders>
              <w:top w:val="nil"/>
              <w:left w:val="nil"/>
              <w:bottom w:val="nil"/>
              <w:right w:val="nil"/>
            </w:tcBorders>
            <w:shd w:val="clear" w:color="auto" w:fill="auto"/>
            <w:noWrap/>
            <w:vAlign w:val="bottom"/>
            <w:hideMark/>
          </w:tcPr>
          <w:p w14:paraId="5C9A6F96"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0.5</w:t>
            </w:r>
          </w:p>
        </w:tc>
        <w:tc>
          <w:tcPr>
            <w:tcW w:w="2268" w:type="dxa"/>
            <w:tcBorders>
              <w:top w:val="nil"/>
              <w:left w:val="nil"/>
              <w:bottom w:val="nil"/>
              <w:right w:val="nil"/>
            </w:tcBorders>
            <w:shd w:val="clear" w:color="auto" w:fill="auto"/>
            <w:noWrap/>
            <w:vAlign w:val="bottom"/>
            <w:hideMark/>
          </w:tcPr>
          <w:p w14:paraId="2BB7BC76"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 0.2</w:t>
            </w:r>
          </w:p>
        </w:tc>
        <w:tc>
          <w:tcPr>
            <w:tcW w:w="2268" w:type="dxa"/>
            <w:tcBorders>
              <w:top w:val="nil"/>
              <w:left w:val="nil"/>
              <w:bottom w:val="nil"/>
              <w:right w:val="nil"/>
            </w:tcBorders>
            <w:shd w:val="clear" w:color="auto" w:fill="auto"/>
            <w:noWrap/>
            <w:vAlign w:val="bottom"/>
            <w:hideMark/>
          </w:tcPr>
          <w:p w14:paraId="42C5D515"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 0.1</w:t>
            </w:r>
          </w:p>
        </w:tc>
        <w:tc>
          <w:tcPr>
            <w:tcW w:w="2409" w:type="dxa"/>
            <w:tcBorders>
              <w:top w:val="nil"/>
              <w:left w:val="nil"/>
              <w:bottom w:val="nil"/>
              <w:right w:val="nil"/>
            </w:tcBorders>
            <w:shd w:val="clear" w:color="auto" w:fill="auto"/>
            <w:noWrap/>
            <w:vAlign w:val="bottom"/>
            <w:hideMark/>
          </w:tcPr>
          <w:p w14:paraId="3A8C54C8" w14:textId="77777777" w:rsidR="00E32E14" w:rsidRPr="00E32E14" w:rsidRDefault="00E32E14" w:rsidP="00E32E14">
            <w:pP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high risk</w:t>
            </w:r>
          </w:p>
        </w:tc>
      </w:tr>
      <w:tr w:rsidR="00E32E14" w:rsidRPr="00E32E14" w14:paraId="2F9CDBDF" w14:textId="77777777" w:rsidTr="00E32E14">
        <w:trPr>
          <w:trHeight w:val="320"/>
        </w:trPr>
        <w:tc>
          <w:tcPr>
            <w:tcW w:w="2127" w:type="dxa"/>
            <w:tcBorders>
              <w:top w:val="nil"/>
              <w:left w:val="nil"/>
              <w:bottom w:val="nil"/>
              <w:right w:val="nil"/>
            </w:tcBorders>
            <w:shd w:val="clear" w:color="auto" w:fill="auto"/>
            <w:noWrap/>
            <w:vAlign w:val="bottom"/>
            <w:hideMark/>
          </w:tcPr>
          <w:p w14:paraId="0FE45C27"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0.25</w:t>
            </w:r>
          </w:p>
        </w:tc>
        <w:tc>
          <w:tcPr>
            <w:tcW w:w="2268" w:type="dxa"/>
            <w:tcBorders>
              <w:top w:val="nil"/>
              <w:left w:val="nil"/>
              <w:bottom w:val="nil"/>
              <w:right w:val="nil"/>
            </w:tcBorders>
            <w:shd w:val="clear" w:color="auto" w:fill="auto"/>
            <w:noWrap/>
            <w:vAlign w:val="bottom"/>
            <w:hideMark/>
          </w:tcPr>
          <w:p w14:paraId="46AFFE50"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 0.4</w:t>
            </w:r>
          </w:p>
        </w:tc>
        <w:tc>
          <w:tcPr>
            <w:tcW w:w="2268" w:type="dxa"/>
            <w:tcBorders>
              <w:top w:val="nil"/>
              <w:left w:val="nil"/>
              <w:bottom w:val="nil"/>
              <w:right w:val="nil"/>
            </w:tcBorders>
            <w:shd w:val="clear" w:color="auto" w:fill="auto"/>
            <w:noWrap/>
            <w:vAlign w:val="bottom"/>
            <w:hideMark/>
          </w:tcPr>
          <w:p w14:paraId="68BC1B1A"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 0.1</w:t>
            </w:r>
          </w:p>
        </w:tc>
        <w:tc>
          <w:tcPr>
            <w:tcW w:w="2409" w:type="dxa"/>
            <w:tcBorders>
              <w:top w:val="nil"/>
              <w:left w:val="nil"/>
              <w:bottom w:val="nil"/>
              <w:right w:val="nil"/>
            </w:tcBorders>
            <w:shd w:val="clear" w:color="auto" w:fill="auto"/>
            <w:noWrap/>
            <w:vAlign w:val="bottom"/>
            <w:hideMark/>
          </w:tcPr>
          <w:p w14:paraId="13689EB2" w14:textId="77777777" w:rsidR="00E32E14" w:rsidRPr="00E32E14" w:rsidRDefault="00E32E14" w:rsidP="00E32E14">
            <w:pP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high risk</w:t>
            </w:r>
          </w:p>
        </w:tc>
      </w:tr>
      <w:tr w:rsidR="00E32E14" w:rsidRPr="00E32E14" w14:paraId="67575F04" w14:textId="77777777" w:rsidTr="00E32E14">
        <w:trPr>
          <w:trHeight w:val="320"/>
        </w:trPr>
        <w:tc>
          <w:tcPr>
            <w:tcW w:w="2127" w:type="dxa"/>
            <w:tcBorders>
              <w:top w:val="nil"/>
              <w:left w:val="nil"/>
              <w:bottom w:val="nil"/>
              <w:right w:val="nil"/>
            </w:tcBorders>
            <w:shd w:val="clear" w:color="auto" w:fill="auto"/>
            <w:noWrap/>
            <w:vAlign w:val="bottom"/>
            <w:hideMark/>
          </w:tcPr>
          <w:p w14:paraId="2FABBF3F"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0.5</w:t>
            </w:r>
          </w:p>
        </w:tc>
        <w:tc>
          <w:tcPr>
            <w:tcW w:w="2268" w:type="dxa"/>
            <w:tcBorders>
              <w:top w:val="nil"/>
              <w:left w:val="nil"/>
              <w:bottom w:val="nil"/>
              <w:right w:val="nil"/>
            </w:tcBorders>
            <w:shd w:val="clear" w:color="auto" w:fill="auto"/>
            <w:noWrap/>
            <w:vAlign w:val="bottom"/>
            <w:hideMark/>
          </w:tcPr>
          <w:p w14:paraId="6AD4A76E"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 0.1</w:t>
            </w:r>
          </w:p>
        </w:tc>
        <w:tc>
          <w:tcPr>
            <w:tcW w:w="2268" w:type="dxa"/>
            <w:tcBorders>
              <w:top w:val="nil"/>
              <w:left w:val="nil"/>
              <w:bottom w:val="nil"/>
              <w:right w:val="nil"/>
            </w:tcBorders>
            <w:shd w:val="clear" w:color="auto" w:fill="auto"/>
            <w:noWrap/>
            <w:vAlign w:val="bottom"/>
            <w:hideMark/>
          </w:tcPr>
          <w:p w14:paraId="7B28151A"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 0.05</w:t>
            </w:r>
          </w:p>
        </w:tc>
        <w:tc>
          <w:tcPr>
            <w:tcW w:w="2409" w:type="dxa"/>
            <w:tcBorders>
              <w:top w:val="nil"/>
              <w:left w:val="nil"/>
              <w:bottom w:val="nil"/>
              <w:right w:val="nil"/>
            </w:tcBorders>
            <w:shd w:val="clear" w:color="auto" w:fill="auto"/>
            <w:noWrap/>
            <w:vAlign w:val="bottom"/>
            <w:hideMark/>
          </w:tcPr>
          <w:p w14:paraId="4BBE873F" w14:textId="77777777" w:rsidR="00E32E14" w:rsidRPr="00E32E14" w:rsidRDefault="00E32E14" w:rsidP="00E32E14">
            <w:pP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risk</w:t>
            </w:r>
          </w:p>
        </w:tc>
      </w:tr>
      <w:tr w:rsidR="00E32E14" w:rsidRPr="00E32E14" w14:paraId="3C1F5299" w14:textId="77777777" w:rsidTr="00E32E14">
        <w:trPr>
          <w:trHeight w:val="320"/>
        </w:trPr>
        <w:tc>
          <w:tcPr>
            <w:tcW w:w="2127" w:type="dxa"/>
            <w:tcBorders>
              <w:top w:val="nil"/>
              <w:left w:val="nil"/>
              <w:bottom w:val="nil"/>
              <w:right w:val="nil"/>
            </w:tcBorders>
            <w:shd w:val="clear" w:color="auto" w:fill="auto"/>
            <w:noWrap/>
            <w:vAlign w:val="bottom"/>
            <w:hideMark/>
          </w:tcPr>
          <w:p w14:paraId="1DE50235"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0.25</w:t>
            </w:r>
          </w:p>
        </w:tc>
        <w:tc>
          <w:tcPr>
            <w:tcW w:w="2268" w:type="dxa"/>
            <w:tcBorders>
              <w:top w:val="nil"/>
              <w:left w:val="nil"/>
              <w:bottom w:val="nil"/>
              <w:right w:val="nil"/>
            </w:tcBorders>
            <w:shd w:val="clear" w:color="auto" w:fill="auto"/>
            <w:noWrap/>
            <w:vAlign w:val="bottom"/>
            <w:hideMark/>
          </w:tcPr>
          <w:p w14:paraId="7592785A"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 0.2</w:t>
            </w:r>
          </w:p>
        </w:tc>
        <w:tc>
          <w:tcPr>
            <w:tcW w:w="2268" w:type="dxa"/>
            <w:tcBorders>
              <w:top w:val="nil"/>
              <w:left w:val="nil"/>
              <w:bottom w:val="nil"/>
              <w:right w:val="nil"/>
            </w:tcBorders>
            <w:shd w:val="clear" w:color="auto" w:fill="auto"/>
            <w:noWrap/>
            <w:vAlign w:val="bottom"/>
            <w:hideMark/>
          </w:tcPr>
          <w:p w14:paraId="0F201161"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 0.05</w:t>
            </w:r>
          </w:p>
        </w:tc>
        <w:tc>
          <w:tcPr>
            <w:tcW w:w="2409" w:type="dxa"/>
            <w:tcBorders>
              <w:top w:val="nil"/>
              <w:left w:val="nil"/>
              <w:bottom w:val="nil"/>
              <w:right w:val="nil"/>
            </w:tcBorders>
            <w:shd w:val="clear" w:color="auto" w:fill="auto"/>
            <w:noWrap/>
            <w:vAlign w:val="bottom"/>
            <w:hideMark/>
          </w:tcPr>
          <w:p w14:paraId="5C47734E" w14:textId="77777777" w:rsidR="00E32E14" w:rsidRPr="00E32E14" w:rsidRDefault="00E32E14" w:rsidP="00E32E14">
            <w:pP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risk</w:t>
            </w:r>
          </w:p>
        </w:tc>
      </w:tr>
      <w:tr w:rsidR="00E32E14" w:rsidRPr="00E32E14" w14:paraId="7F241EE2" w14:textId="77777777" w:rsidTr="00E32E14">
        <w:trPr>
          <w:trHeight w:val="320"/>
        </w:trPr>
        <w:tc>
          <w:tcPr>
            <w:tcW w:w="2127" w:type="dxa"/>
            <w:tcBorders>
              <w:top w:val="nil"/>
              <w:left w:val="nil"/>
              <w:bottom w:val="nil"/>
              <w:right w:val="nil"/>
            </w:tcBorders>
            <w:shd w:val="clear" w:color="auto" w:fill="auto"/>
            <w:noWrap/>
            <w:vAlign w:val="bottom"/>
            <w:hideMark/>
          </w:tcPr>
          <w:p w14:paraId="18B09A91"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0.5</w:t>
            </w:r>
          </w:p>
        </w:tc>
        <w:tc>
          <w:tcPr>
            <w:tcW w:w="2268" w:type="dxa"/>
            <w:tcBorders>
              <w:top w:val="nil"/>
              <w:left w:val="nil"/>
              <w:bottom w:val="nil"/>
              <w:right w:val="nil"/>
            </w:tcBorders>
            <w:shd w:val="clear" w:color="auto" w:fill="auto"/>
            <w:noWrap/>
            <w:vAlign w:val="bottom"/>
            <w:hideMark/>
          </w:tcPr>
          <w:p w14:paraId="4A265E21" w14:textId="15D16836"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0</w:t>
            </w:r>
            <w:r>
              <w:rPr>
                <w:rFonts w:ascii="Calibri" w:eastAsia="Times New Roman" w:hAnsi="Calibri" w:cs="Calibri"/>
                <w:color w:val="000000"/>
                <w:lang w:val="en-US" w:eastAsia="en-GB"/>
              </w:rPr>
              <w:t>.001</w:t>
            </w:r>
            <w:r w:rsidRPr="00E32E14">
              <w:rPr>
                <w:rFonts w:ascii="Calibri" w:eastAsia="Times New Roman" w:hAnsi="Calibri" w:cs="Calibri"/>
                <w:color w:val="000000"/>
                <w:lang w:val="en-CH" w:eastAsia="en-GB"/>
              </w:rPr>
              <w:t xml:space="preserve"> to 0.099</w:t>
            </w:r>
          </w:p>
        </w:tc>
        <w:tc>
          <w:tcPr>
            <w:tcW w:w="2268" w:type="dxa"/>
            <w:tcBorders>
              <w:top w:val="nil"/>
              <w:left w:val="nil"/>
              <w:bottom w:val="nil"/>
              <w:right w:val="nil"/>
            </w:tcBorders>
            <w:shd w:val="clear" w:color="auto" w:fill="auto"/>
            <w:noWrap/>
            <w:vAlign w:val="bottom"/>
            <w:hideMark/>
          </w:tcPr>
          <w:p w14:paraId="3CF5ED55" w14:textId="34112E16"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0</w:t>
            </w:r>
            <w:r>
              <w:rPr>
                <w:rFonts w:ascii="Calibri" w:eastAsia="Times New Roman" w:hAnsi="Calibri" w:cs="Calibri"/>
                <w:color w:val="000000"/>
                <w:lang w:val="en-US" w:eastAsia="en-GB"/>
              </w:rPr>
              <w:t>.001</w:t>
            </w:r>
            <w:r w:rsidRPr="00E32E14">
              <w:rPr>
                <w:rFonts w:ascii="Calibri" w:eastAsia="Times New Roman" w:hAnsi="Calibri" w:cs="Calibri"/>
                <w:color w:val="000000"/>
                <w:lang w:val="en-CH" w:eastAsia="en-GB"/>
              </w:rPr>
              <w:t xml:space="preserve"> to 0.0499</w:t>
            </w:r>
          </w:p>
        </w:tc>
        <w:tc>
          <w:tcPr>
            <w:tcW w:w="2409" w:type="dxa"/>
            <w:tcBorders>
              <w:top w:val="nil"/>
              <w:left w:val="nil"/>
              <w:bottom w:val="nil"/>
              <w:right w:val="nil"/>
            </w:tcBorders>
            <w:shd w:val="clear" w:color="auto" w:fill="auto"/>
            <w:noWrap/>
            <w:vAlign w:val="bottom"/>
            <w:hideMark/>
          </w:tcPr>
          <w:p w14:paraId="419EAB72" w14:textId="77777777" w:rsidR="00E32E14" w:rsidRPr="00E32E14" w:rsidRDefault="00E32E14" w:rsidP="00E32E14">
            <w:pP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small risk</w:t>
            </w:r>
          </w:p>
        </w:tc>
      </w:tr>
      <w:tr w:rsidR="00E32E14" w:rsidRPr="00E32E14" w14:paraId="0610E86A" w14:textId="77777777" w:rsidTr="00E32E14">
        <w:trPr>
          <w:trHeight w:val="320"/>
        </w:trPr>
        <w:tc>
          <w:tcPr>
            <w:tcW w:w="2127" w:type="dxa"/>
            <w:tcBorders>
              <w:top w:val="nil"/>
              <w:left w:val="nil"/>
              <w:bottom w:val="nil"/>
              <w:right w:val="nil"/>
            </w:tcBorders>
            <w:shd w:val="clear" w:color="auto" w:fill="auto"/>
            <w:noWrap/>
            <w:vAlign w:val="bottom"/>
            <w:hideMark/>
          </w:tcPr>
          <w:p w14:paraId="27C1C894"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0.25</w:t>
            </w:r>
          </w:p>
        </w:tc>
        <w:tc>
          <w:tcPr>
            <w:tcW w:w="2268" w:type="dxa"/>
            <w:tcBorders>
              <w:top w:val="nil"/>
              <w:left w:val="nil"/>
              <w:bottom w:val="nil"/>
              <w:right w:val="nil"/>
            </w:tcBorders>
            <w:shd w:val="clear" w:color="auto" w:fill="auto"/>
            <w:noWrap/>
            <w:vAlign w:val="bottom"/>
            <w:hideMark/>
          </w:tcPr>
          <w:p w14:paraId="50388EA3" w14:textId="673B1638"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0</w:t>
            </w:r>
            <w:r>
              <w:rPr>
                <w:rFonts w:ascii="Calibri" w:eastAsia="Times New Roman" w:hAnsi="Calibri" w:cs="Calibri"/>
                <w:color w:val="000000"/>
                <w:lang w:val="en-US" w:eastAsia="en-GB"/>
              </w:rPr>
              <w:t>.001</w:t>
            </w:r>
            <w:r w:rsidRPr="00E32E14">
              <w:rPr>
                <w:rFonts w:ascii="Calibri" w:eastAsia="Times New Roman" w:hAnsi="Calibri" w:cs="Calibri"/>
                <w:color w:val="000000"/>
                <w:lang w:val="en-CH" w:eastAsia="en-GB"/>
              </w:rPr>
              <w:t xml:space="preserve"> to 0.199</w:t>
            </w:r>
          </w:p>
        </w:tc>
        <w:tc>
          <w:tcPr>
            <w:tcW w:w="2268" w:type="dxa"/>
            <w:tcBorders>
              <w:top w:val="nil"/>
              <w:left w:val="nil"/>
              <w:bottom w:val="nil"/>
              <w:right w:val="nil"/>
            </w:tcBorders>
            <w:shd w:val="clear" w:color="auto" w:fill="auto"/>
            <w:noWrap/>
            <w:vAlign w:val="bottom"/>
            <w:hideMark/>
          </w:tcPr>
          <w:p w14:paraId="24C4D7E3" w14:textId="4AB68705"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0</w:t>
            </w:r>
            <w:r>
              <w:rPr>
                <w:rFonts w:ascii="Calibri" w:eastAsia="Times New Roman" w:hAnsi="Calibri" w:cs="Calibri"/>
                <w:color w:val="000000"/>
                <w:lang w:val="en-US" w:eastAsia="en-GB"/>
              </w:rPr>
              <w:t>.001</w:t>
            </w:r>
            <w:r w:rsidRPr="00E32E14">
              <w:rPr>
                <w:rFonts w:ascii="Calibri" w:eastAsia="Times New Roman" w:hAnsi="Calibri" w:cs="Calibri"/>
                <w:color w:val="000000"/>
                <w:lang w:val="en-CH" w:eastAsia="en-GB"/>
              </w:rPr>
              <w:t xml:space="preserve"> to 0.0499</w:t>
            </w:r>
          </w:p>
        </w:tc>
        <w:tc>
          <w:tcPr>
            <w:tcW w:w="2409" w:type="dxa"/>
            <w:tcBorders>
              <w:top w:val="nil"/>
              <w:left w:val="nil"/>
              <w:bottom w:val="nil"/>
              <w:right w:val="nil"/>
            </w:tcBorders>
            <w:shd w:val="clear" w:color="auto" w:fill="auto"/>
            <w:noWrap/>
            <w:vAlign w:val="bottom"/>
            <w:hideMark/>
          </w:tcPr>
          <w:p w14:paraId="2E9ADCAF" w14:textId="77777777" w:rsidR="00E32E14" w:rsidRPr="00E32E14" w:rsidRDefault="00E32E14" w:rsidP="00E32E14">
            <w:pP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small risk</w:t>
            </w:r>
          </w:p>
        </w:tc>
      </w:tr>
      <w:tr w:rsidR="00E32E14" w:rsidRPr="00E32E14" w14:paraId="281405DD" w14:textId="77777777" w:rsidTr="00E32E14">
        <w:trPr>
          <w:trHeight w:val="320"/>
        </w:trPr>
        <w:tc>
          <w:tcPr>
            <w:tcW w:w="2127" w:type="dxa"/>
            <w:tcBorders>
              <w:top w:val="nil"/>
              <w:left w:val="nil"/>
              <w:bottom w:val="nil"/>
              <w:right w:val="nil"/>
            </w:tcBorders>
            <w:shd w:val="clear" w:color="auto" w:fill="auto"/>
            <w:noWrap/>
            <w:vAlign w:val="bottom"/>
            <w:hideMark/>
          </w:tcPr>
          <w:p w14:paraId="51B0DEE2"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0</w:t>
            </w:r>
          </w:p>
        </w:tc>
        <w:tc>
          <w:tcPr>
            <w:tcW w:w="2268" w:type="dxa"/>
            <w:tcBorders>
              <w:top w:val="nil"/>
              <w:left w:val="nil"/>
              <w:bottom w:val="nil"/>
              <w:right w:val="nil"/>
            </w:tcBorders>
            <w:shd w:val="clear" w:color="auto" w:fill="auto"/>
            <w:noWrap/>
            <w:vAlign w:val="bottom"/>
            <w:hideMark/>
          </w:tcPr>
          <w:p w14:paraId="09635CAC"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0 to 1</w:t>
            </w:r>
          </w:p>
        </w:tc>
        <w:tc>
          <w:tcPr>
            <w:tcW w:w="2268" w:type="dxa"/>
            <w:tcBorders>
              <w:top w:val="nil"/>
              <w:left w:val="nil"/>
              <w:bottom w:val="nil"/>
              <w:right w:val="nil"/>
            </w:tcBorders>
            <w:shd w:val="clear" w:color="auto" w:fill="auto"/>
            <w:noWrap/>
            <w:vAlign w:val="bottom"/>
            <w:hideMark/>
          </w:tcPr>
          <w:p w14:paraId="43E6DA6C"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0</w:t>
            </w:r>
          </w:p>
        </w:tc>
        <w:tc>
          <w:tcPr>
            <w:tcW w:w="2409" w:type="dxa"/>
            <w:tcBorders>
              <w:top w:val="nil"/>
              <w:left w:val="nil"/>
              <w:bottom w:val="nil"/>
              <w:right w:val="nil"/>
            </w:tcBorders>
            <w:shd w:val="clear" w:color="auto" w:fill="auto"/>
            <w:noWrap/>
            <w:vAlign w:val="bottom"/>
            <w:hideMark/>
          </w:tcPr>
          <w:p w14:paraId="0A5633F5" w14:textId="77777777" w:rsidR="00E32E14" w:rsidRPr="00E32E14" w:rsidRDefault="00E32E14" w:rsidP="00E32E14">
            <w:pP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minimal</w:t>
            </w:r>
          </w:p>
        </w:tc>
      </w:tr>
      <w:tr w:rsidR="00E32E14" w:rsidRPr="00E32E14" w14:paraId="6669EE6D" w14:textId="77777777" w:rsidTr="00E32E14">
        <w:trPr>
          <w:trHeight w:val="320"/>
        </w:trPr>
        <w:tc>
          <w:tcPr>
            <w:tcW w:w="2127" w:type="dxa"/>
            <w:tcBorders>
              <w:top w:val="nil"/>
              <w:left w:val="nil"/>
              <w:bottom w:val="nil"/>
              <w:right w:val="nil"/>
            </w:tcBorders>
            <w:shd w:val="clear" w:color="auto" w:fill="auto"/>
            <w:noWrap/>
            <w:vAlign w:val="bottom"/>
            <w:hideMark/>
          </w:tcPr>
          <w:p w14:paraId="2331AA2E"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-0.5</w:t>
            </w:r>
          </w:p>
        </w:tc>
        <w:tc>
          <w:tcPr>
            <w:tcW w:w="2268" w:type="dxa"/>
            <w:tcBorders>
              <w:top w:val="nil"/>
              <w:left w:val="nil"/>
              <w:bottom w:val="nil"/>
              <w:right w:val="nil"/>
            </w:tcBorders>
            <w:shd w:val="clear" w:color="auto" w:fill="auto"/>
            <w:noWrap/>
            <w:vAlign w:val="bottom"/>
            <w:hideMark/>
          </w:tcPr>
          <w:p w14:paraId="435A77B5" w14:textId="590D8BF3"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0</w:t>
            </w:r>
            <w:r>
              <w:rPr>
                <w:rFonts w:ascii="Calibri" w:eastAsia="Times New Roman" w:hAnsi="Calibri" w:cs="Calibri"/>
                <w:color w:val="000000"/>
                <w:lang w:val="en-US" w:eastAsia="en-GB"/>
              </w:rPr>
              <w:t>.001</w:t>
            </w:r>
            <w:r w:rsidRPr="00E32E14">
              <w:rPr>
                <w:rFonts w:ascii="Calibri" w:eastAsia="Times New Roman" w:hAnsi="Calibri" w:cs="Calibri"/>
                <w:color w:val="000000"/>
                <w:lang w:val="en-CH" w:eastAsia="en-GB"/>
              </w:rPr>
              <w:t xml:space="preserve"> to 0.099</w:t>
            </w:r>
          </w:p>
        </w:tc>
        <w:tc>
          <w:tcPr>
            <w:tcW w:w="2268" w:type="dxa"/>
            <w:tcBorders>
              <w:top w:val="nil"/>
              <w:left w:val="nil"/>
              <w:bottom w:val="nil"/>
              <w:right w:val="nil"/>
            </w:tcBorders>
            <w:shd w:val="clear" w:color="auto" w:fill="auto"/>
            <w:noWrap/>
            <w:vAlign w:val="bottom"/>
            <w:hideMark/>
          </w:tcPr>
          <w:p w14:paraId="00AF4229" w14:textId="563E29B9" w:rsidR="00E32E14" w:rsidRPr="00E32E14" w:rsidRDefault="00E32E14" w:rsidP="00E32E14">
            <w:pPr>
              <w:jc w:val="center"/>
              <w:rPr>
                <w:rFonts w:ascii="Calibri" w:eastAsia="Times New Roman" w:hAnsi="Calibri" w:cs="Calibri"/>
                <w:color w:val="000000"/>
                <w:lang w:val="en-CH" w:eastAsia="en-GB"/>
              </w:rPr>
            </w:pPr>
            <w:r>
              <w:rPr>
                <w:rFonts w:ascii="Calibri" w:eastAsia="Times New Roman" w:hAnsi="Calibri" w:cs="Calibri"/>
                <w:color w:val="000000"/>
                <w:lang w:val="en-US" w:eastAsia="en-GB"/>
              </w:rPr>
              <w:t>-</w:t>
            </w:r>
            <w:r w:rsidRPr="00E32E14">
              <w:rPr>
                <w:rFonts w:ascii="Calibri" w:eastAsia="Times New Roman" w:hAnsi="Calibri" w:cs="Calibri"/>
                <w:color w:val="000000"/>
                <w:lang w:val="en-CH" w:eastAsia="en-GB"/>
              </w:rPr>
              <w:t>0</w:t>
            </w:r>
            <w:r>
              <w:rPr>
                <w:rFonts w:ascii="Calibri" w:eastAsia="Times New Roman" w:hAnsi="Calibri" w:cs="Calibri"/>
                <w:color w:val="000000"/>
                <w:lang w:val="en-US" w:eastAsia="en-GB"/>
              </w:rPr>
              <w:t>.001</w:t>
            </w:r>
            <w:r w:rsidRPr="00E32E14">
              <w:rPr>
                <w:rFonts w:ascii="Calibri" w:eastAsia="Times New Roman" w:hAnsi="Calibri" w:cs="Calibri"/>
                <w:color w:val="000000"/>
                <w:lang w:val="en-CH" w:eastAsia="en-GB"/>
              </w:rPr>
              <w:t xml:space="preserve"> to -0.0499</w:t>
            </w:r>
          </w:p>
        </w:tc>
        <w:tc>
          <w:tcPr>
            <w:tcW w:w="2409" w:type="dxa"/>
            <w:tcBorders>
              <w:top w:val="nil"/>
              <w:left w:val="nil"/>
              <w:bottom w:val="nil"/>
              <w:right w:val="nil"/>
            </w:tcBorders>
            <w:shd w:val="clear" w:color="auto" w:fill="auto"/>
            <w:noWrap/>
            <w:vAlign w:val="bottom"/>
            <w:hideMark/>
          </w:tcPr>
          <w:p w14:paraId="5E89C57B" w14:textId="77777777" w:rsidR="00E32E14" w:rsidRPr="00E32E14" w:rsidRDefault="00E32E14" w:rsidP="00E32E14">
            <w:pP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minimal</w:t>
            </w:r>
          </w:p>
        </w:tc>
      </w:tr>
      <w:tr w:rsidR="00E32E14" w:rsidRPr="00E32E14" w14:paraId="25C0606A" w14:textId="77777777" w:rsidTr="00E32E14">
        <w:trPr>
          <w:trHeight w:val="320"/>
        </w:trPr>
        <w:tc>
          <w:tcPr>
            <w:tcW w:w="2127" w:type="dxa"/>
            <w:tcBorders>
              <w:top w:val="nil"/>
              <w:left w:val="nil"/>
              <w:bottom w:val="single" w:sz="4" w:space="0" w:color="auto"/>
              <w:right w:val="nil"/>
            </w:tcBorders>
            <w:shd w:val="clear" w:color="auto" w:fill="auto"/>
            <w:noWrap/>
            <w:vAlign w:val="bottom"/>
            <w:hideMark/>
          </w:tcPr>
          <w:p w14:paraId="08ECC2BD"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-0.5</w:t>
            </w:r>
          </w:p>
        </w:tc>
        <w:tc>
          <w:tcPr>
            <w:tcW w:w="2268" w:type="dxa"/>
            <w:tcBorders>
              <w:top w:val="nil"/>
              <w:left w:val="nil"/>
              <w:bottom w:val="single" w:sz="4" w:space="0" w:color="auto"/>
              <w:right w:val="nil"/>
            </w:tcBorders>
            <w:shd w:val="clear" w:color="auto" w:fill="auto"/>
            <w:noWrap/>
            <w:vAlign w:val="bottom"/>
            <w:hideMark/>
          </w:tcPr>
          <w:p w14:paraId="7DF778CA" w14:textId="77777777"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 0.1</w:t>
            </w:r>
          </w:p>
        </w:tc>
        <w:tc>
          <w:tcPr>
            <w:tcW w:w="2268" w:type="dxa"/>
            <w:tcBorders>
              <w:top w:val="nil"/>
              <w:left w:val="nil"/>
              <w:bottom w:val="single" w:sz="4" w:space="0" w:color="auto"/>
              <w:right w:val="nil"/>
            </w:tcBorders>
            <w:shd w:val="clear" w:color="auto" w:fill="auto"/>
            <w:noWrap/>
            <w:vAlign w:val="bottom"/>
            <w:hideMark/>
          </w:tcPr>
          <w:p w14:paraId="19E1DD10" w14:textId="2DD16C8D" w:rsidR="00E32E14" w:rsidRPr="00E32E14" w:rsidRDefault="00E32E14" w:rsidP="00E32E14">
            <w:pPr>
              <w:jc w:val="cente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 xml:space="preserve">≤ </w:t>
            </w:r>
            <w:r>
              <w:rPr>
                <w:rFonts w:ascii="Calibri" w:eastAsia="Times New Roman" w:hAnsi="Calibri" w:cs="Calibri"/>
                <w:color w:val="000000"/>
                <w:lang w:val="en-US" w:eastAsia="en-GB"/>
              </w:rPr>
              <w:t>-</w:t>
            </w:r>
            <w:r w:rsidRPr="00E32E14">
              <w:rPr>
                <w:rFonts w:ascii="Calibri" w:eastAsia="Times New Roman" w:hAnsi="Calibri" w:cs="Calibri"/>
                <w:color w:val="000000"/>
                <w:lang w:val="en-CH" w:eastAsia="en-GB"/>
              </w:rPr>
              <w:t>0.05</w:t>
            </w:r>
          </w:p>
        </w:tc>
        <w:tc>
          <w:tcPr>
            <w:tcW w:w="2409" w:type="dxa"/>
            <w:tcBorders>
              <w:top w:val="nil"/>
              <w:left w:val="nil"/>
              <w:bottom w:val="single" w:sz="4" w:space="0" w:color="auto"/>
              <w:right w:val="nil"/>
            </w:tcBorders>
            <w:shd w:val="clear" w:color="auto" w:fill="auto"/>
            <w:noWrap/>
            <w:vAlign w:val="bottom"/>
            <w:hideMark/>
          </w:tcPr>
          <w:p w14:paraId="08EA7613" w14:textId="77777777" w:rsidR="00E32E14" w:rsidRPr="00E32E14" w:rsidRDefault="00E32E14" w:rsidP="00E32E14">
            <w:pPr>
              <w:rPr>
                <w:rFonts w:ascii="Calibri" w:eastAsia="Times New Roman" w:hAnsi="Calibri" w:cs="Calibri"/>
                <w:color w:val="000000"/>
                <w:lang w:val="en-CH" w:eastAsia="en-GB"/>
              </w:rPr>
            </w:pPr>
            <w:r w:rsidRPr="00E32E14">
              <w:rPr>
                <w:rFonts w:ascii="Calibri" w:eastAsia="Times New Roman" w:hAnsi="Calibri" w:cs="Calibri"/>
                <w:color w:val="000000"/>
                <w:lang w:val="en-CH" w:eastAsia="en-GB"/>
              </w:rPr>
              <w:t>opportunity</w:t>
            </w:r>
          </w:p>
        </w:tc>
      </w:tr>
    </w:tbl>
    <w:p w14:paraId="7F133BC2" w14:textId="77777777" w:rsidR="00930934" w:rsidRDefault="00930934" w:rsidP="00677F8C">
      <w:pPr>
        <w:rPr>
          <w:lang w:val="en-US"/>
        </w:rPr>
      </w:pPr>
    </w:p>
    <w:p w14:paraId="7AE71A6C" w14:textId="3BA1F478" w:rsidR="0014416F" w:rsidRDefault="0014416F">
      <w:pPr>
        <w:rPr>
          <w:lang w:val="en-US"/>
        </w:rPr>
      </w:pPr>
      <w:r>
        <w:rPr>
          <w:lang w:val="en-US"/>
        </w:rPr>
        <w:br w:type="page"/>
      </w:r>
    </w:p>
    <w:p w14:paraId="4F2C7456" w14:textId="0D04F99F" w:rsidR="000169A6" w:rsidRPr="0014416F" w:rsidRDefault="0014416F" w:rsidP="00677F8C">
      <w:pPr>
        <w:rPr>
          <w:b/>
          <w:bCs/>
          <w:lang w:val="en-US"/>
        </w:rPr>
      </w:pPr>
      <w:r w:rsidRPr="0014416F">
        <w:rPr>
          <w:b/>
          <w:bCs/>
          <w:lang w:val="en-US"/>
        </w:rPr>
        <w:lastRenderedPageBreak/>
        <w:t>References</w:t>
      </w:r>
    </w:p>
    <w:p w14:paraId="3F5CFC42" w14:textId="6D4640F9" w:rsidR="002275A5" w:rsidRDefault="002275A5" w:rsidP="0014416F">
      <w:pPr>
        <w:ind w:left="709" w:hanging="709"/>
        <w:rPr>
          <w:lang w:val="en-US"/>
        </w:rPr>
      </w:pPr>
    </w:p>
    <w:p w14:paraId="7B9ED6A3" w14:textId="77777777" w:rsidR="002275A5" w:rsidRPr="0014416F" w:rsidRDefault="002275A5" w:rsidP="0014416F">
      <w:pPr>
        <w:ind w:left="709" w:hanging="709"/>
        <w:rPr>
          <w:lang w:val="en-US"/>
        </w:rPr>
      </w:pPr>
      <w:r w:rsidRPr="0014416F">
        <w:rPr>
          <w:lang w:val="en-US"/>
        </w:rPr>
        <w:t xml:space="preserve">Berg, Joyce et al. (2008). “Results from a Dozen Years of Election Futures Markets Research”. </w:t>
      </w:r>
      <w:r w:rsidRPr="0014416F">
        <w:rPr>
          <w:i/>
          <w:iCs/>
          <w:lang w:val="en-US"/>
        </w:rPr>
        <w:t>Handbook of Experimental Economics Results.</w:t>
      </w:r>
      <w:r w:rsidRPr="0014416F">
        <w:rPr>
          <w:lang w:val="en-US"/>
        </w:rPr>
        <w:t xml:space="preserve"> Ed. by Charles R. </w:t>
      </w:r>
      <w:proofErr w:type="spellStart"/>
      <w:r w:rsidRPr="0014416F">
        <w:rPr>
          <w:lang w:val="en-US"/>
        </w:rPr>
        <w:t>Plott</w:t>
      </w:r>
      <w:proofErr w:type="spellEnd"/>
      <w:r w:rsidRPr="0014416F">
        <w:rPr>
          <w:lang w:val="en-US"/>
        </w:rPr>
        <w:t xml:space="preserve"> &amp; Vernon L. Smith. Vol. 1. Elsevier, pp. 742–751.</w:t>
      </w:r>
    </w:p>
    <w:p w14:paraId="179D12C5" w14:textId="77777777" w:rsidR="002275A5" w:rsidRDefault="002275A5" w:rsidP="0014416F">
      <w:pPr>
        <w:ind w:left="709" w:hanging="709"/>
        <w:rPr>
          <w:lang w:val="en-US"/>
        </w:rPr>
      </w:pPr>
      <w:r w:rsidRPr="0014416F">
        <w:rPr>
          <w:lang w:val="en-US"/>
        </w:rPr>
        <w:t xml:space="preserve">Berg, Joyce, Forrest Nelson &amp; Thomas </w:t>
      </w:r>
      <w:proofErr w:type="spellStart"/>
      <w:r w:rsidRPr="0014416F">
        <w:rPr>
          <w:lang w:val="en-US"/>
        </w:rPr>
        <w:t>Rietz</w:t>
      </w:r>
      <w:proofErr w:type="spellEnd"/>
      <w:r w:rsidRPr="0014416F">
        <w:rPr>
          <w:lang w:val="en-US"/>
        </w:rPr>
        <w:t xml:space="preserve"> (2003). “Accuracy and forecast standard error of prediction markets”. </w:t>
      </w:r>
      <w:proofErr w:type="spellStart"/>
      <w:r w:rsidRPr="0014416F">
        <w:rPr>
          <w:lang w:val="en-US"/>
        </w:rPr>
        <w:t>Tippie</w:t>
      </w:r>
      <w:proofErr w:type="spellEnd"/>
      <w:r w:rsidRPr="0014416F">
        <w:rPr>
          <w:lang w:val="en-US"/>
        </w:rPr>
        <w:t xml:space="preserve"> College of Business Administration, University of Iowa.</w:t>
      </w:r>
    </w:p>
    <w:p w14:paraId="7FE5C43D" w14:textId="19E798F3" w:rsidR="002275A5" w:rsidRDefault="002275A5" w:rsidP="0014416F">
      <w:pPr>
        <w:ind w:left="709" w:hanging="709"/>
        <w:rPr>
          <w:lang w:val="en-US"/>
        </w:rPr>
      </w:pPr>
      <w:r w:rsidRPr="0014416F">
        <w:rPr>
          <w:lang w:val="en-US"/>
        </w:rPr>
        <w:t xml:space="preserve">Berg, Joyce, Forrest Nelson, &amp; Thomas </w:t>
      </w:r>
      <w:proofErr w:type="spellStart"/>
      <w:r w:rsidRPr="0014416F">
        <w:rPr>
          <w:lang w:val="en-US"/>
        </w:rPr>
        <w:t>Rietz</w:t>
      </w:r>
      <w:proofErr w:type="spellEnd"/>
      <w:r w:rsidRPr="0014416F">
        <w:rPr>
          <w:lang w:val="en-US"/>
        </w:rPr>
        <w:t xml:space="preserve"> (2008). “Prediction market accuracy in the long run.” </w:t>
      </w:r>
      <w:r w:rsidRPr="0014416F">
        <w:rPr>
          <w:i/>
          <w:iCs/>
          <w:lang w:val="en-US"/>
        </w:rPr>
        <w:t>International Journal of Forecasting</w:t>
      </w:r>
      <w:r w:rsidRPr="0014416F">
        <w:rPr>
          <w:lang w:val="en-US"/>
        </w:rPr>
        <w:t xml:space="preserve"> 24(2): 285–300.</w:t>
      </w:r>
    </w:p>
    <w:p w14:paraId="64E36EED" w14:textId="7D130C87" w:rsidR="002135DF" w:rsidRPr="0014416F" w:rsidRDefault="002135DF" w:rsidP="002135DF">
      <w:pPr>
        <w:ind w:left="709" w:hanging="709"/>
        <w:rPr>
          <w:lang w:val="en-US"/>
        </w:rPr>
      </w:pPr>
      <w:r>
        <w:rPr>
          <w:lang w:val="en-US"/>
        </w:rPr>
        <w:t xml:space="preserve">BlackRock (2022). </w:t>
      </w:r>
      <w:r w:rsidRPr="002135DF">
        <w:rPr>
          <w:i/>
          <w:iCs/>
          <w:lang w:val="en-US"/>
        </w:rPr>
        <w:t>Geopolitical risk dashboard.</w:t>
      </w:r>
      <w:r>
        <w:rPr>
          <w:lang w:val="en-US"/>
        </w:rPr>
        <w:t xml:space="preserve"> December 6, 2022. </w:t>
      </w:r>
      <w:r w:rsidRPr="002135DF">
        <w:rPr>
          <w:lang w:val="en-US"/>
        </w:rPr>
        <w:t>BlackRock Investment Institute</w:t>
      </w:r>
      <w:r>
        <w:rPr>
          <w:lang w:val="en-US"/>
        </w:rPr>
        <w:t>.</w:t>
      </w:r>
    </w:p>
    <w:p w14:paraId="2CA64C9A" w14:textId="77777777" w:rsidR="002275A5" w:rsidRDefault="002275A5" w:rsidP="0014416F">
      <w:pPr>
        <w:ind w:left="709" w:hanging="709"/>
        <w:rPr>
          <w:lang w:val="en-US"/>
        </w:rPr>
      </w:pPr>
      <w:r w:rsidRPr="000169A6">
        <w:rPr>
          <w:lang w:val="en-US"/>
        </w:rPr>
        <w:t>Bremmer I</w:t>
      </w:r>
      <w:r>
        <w:rPr>
          <w:lang w:val="en-US"/>
        </w:rPr>
        <w:t>. and</w:t>
      </w:r>
      <w:r w:rsidRPr="000169A6">
        <w:rPr>
          <w:lang w:val="en-US"/>
        </w:rPr>
        <w:t xml:space="preserve"> </w:t>
      </w:r>
      <w:r>
        <w:rPr>
          <w:lang w:val="en-US"/>
        </w:rPr>
        <w:t xml:space="preserve">P. </w:t>
      </w:r>
      <w:proofErr w:type="spellStart"/>
      <w:r w:rsidRPr="000169A6">
        <w:rPr>
          <w:lang w:val="en-US"/>
        </w:rPr>
        <w:t>Keat</w:t>
      </w:r>
      <w:proofErr w:type="spellEnd"/>
      <w:r w:rsidRPr="000169A6">
        <w:rPr>
          <w:lang w:val="en-US"/>
        </w:rPr>
        <w:t xml:space="preserve"> (2010)</w:t>
      </w:r>
      <w:r>
        <w:rPr>
          <w:lang w:val="en-US"/>
        </w:rPr>
        <w:t>:</w:t>
      </w:r>
      <w:r w:rsidRPr="000169A6">
        <w:rPr>
          <w:lang w:val="en-US"/>
        </w:rPr>
        <w:t xml:space="preserve"> </w:t>
      </w:r>
      <w:r w:rsidRPr="000169A6">
        <w:rPr>
          <w:i/>
          <w:iCs/>
          <w:lang w:val="en-US"/>
        </w:rPr>
        <w:t>The Fat Tail: The Power of Political Knowledge in an Uncertain World.</w:t>
      </w:r>
      <w:r w:rsidRPr="000169A6">
        <w:rPr>
          <w:lang w:val="en-US"/>
        </w:rPr>
        <w:t xml:space="preserve"> Oxford University Press.</w:t>
      </w:r>
    </w:p>
    <w:p w14:paraId="02D56DEA" w14:textId="138A93E5" w:rsidR="002275A5" w:rsidRDefault="002275A5" w:rsidP="0063764F">
      <w:pPr>
        <w:ind w:left="709" w:hanging="709"/>
        <w:rPr>
          <w:lang w:val="en-US"/>
        </w:rPr>
      </w:pPr>
      <w:proofErr w:type="spellStart"/>
      <w:r w:rsidRPr="0063764F">
        <w:rPr>
          <w:lang w:val="it-IT"/>
        </w:rPr>
        <w:t>Caldarea</w:t>
      </w:r>
      <w:proofErr w:type="spellEnd"/>
      <w:r w:rsidRPr="0063764F">
        <w:rPr>
          <w:lang w:val="it-IT"/>
        </w:rPr>
        <w:t>, Dario and Ma</w:t>
      </w:r>
      <w:r>
        <w:rPr>
          <w:lang w:val="it-IT"/>
        </w:rPr>
        <w:t>tte</w:t>
      </w:r>
      <w:r w:rsidRPr="0063764F">
        <w:rPr>
          <w:lang w:val="it-IT"/>
        </w:rPr>
        <w:t>o Iacoviello</w:t>
      </w:r>
      <w:r>
        <w:rPr>
          <w:lang w:val="it-IT"/>
        </w:rPr>
        <w:t xml:space="preserve"> (2022). </w:t>
      </w:r>
      <w:r w:rsidRPr="0063764F">
        <w:rPr>
          <w:lang w:val="en-US"/>
        </w:rPr>
        <w:t>“Measuring Geopolitical Risk</w:t>
      </w:r>
      <w:r w:rsidRPr="0014416F">
        <w:rPr>
          <w:lang w:val="en-US"/>
        </w:rPr>
        <w:t>”.</w:t>
      </w:r>
      <w:r>
        <w:rPr>
          <w:lang w:val="en-US"/>
        </w:rPr>
        <w:t xml:space="preserve"> </w:t>
      </w:r>
      <w:r w:rsidRPr="0063764F">
        <w:rPr>
          <w:i/>
          <w:iCs/>
          <w:lang w:val="en-US"/>
        </w:rPr>
        <w:t xml:space="preserve">American Economic Review </w:t>
      </w:r>
      <w:r w:rsidRPr="0063764F">
        <w:rPr>
          <w:lang w:val="en-US"/>
        </w:rPr>
        <w:t>112(4): 1194–1225</w:t>
      </w:r>
      <w:r>
        <w:rPr>
          <w:lang w:val="en-US"/>
        </w:rPr>
        <w:t>.</w:t>
      </w:r>
    </w:p>
    <w:p w14:paraId="46587EC6" w14:textId="4E11CD9C" w:rsidR="002275A5" w:rsidRPr="002135DF" w:rsidRDefault="002275A5" w:rsidP="002135DF">
      <w:pPr>
        <w:ind w:left="709" w:hanging="709"/>
        <w:rPr>
          <w:lang w:val="en-US"/>
        </w:rPr>
      </w:pPr>
      <w:r w:rsidRPr="002275A5">
        <w:rPr>
          <w:lang w:val="en-US"/>
        </w:rPr>
        <w:t xml:space="preserve">Economist Intelligence Unit (EIU) (2022). </w:t>
      </w:r>
      <w:r w:rsidRPr="002135DF">
        <w:rPr>
          <w:i/>
          <w:iCs/>
          <w:lang w:val="en-US"/>
        </w:rPr>
        <w:t>Risk outlook 2023; Ten risk scenarios that could reshape the global economy.</w:t>
      </w:r>
      <w:r>
        <w:rPr>
          <w:lang w:val="en-US"/>
        </w:rPr>
        <w:t xml:space="preserve"> </w:t>
      </w:r>
      <w:r w:rsidR="002135DF">
        <w:rPr>
          <w:lang w:val="en-US"/>
        </w:rPr>
        <w:t>London, New York, Hongkong, Gurgaon, Dubai:</w:t>
      </w:r>
      <w:r w:rsidR="002135DF" w:rsidRPr="002135DF">
        <w:rPr>
          <w:lang w:val="en-US"/>
        </w:rPr>
        <w:t xml:space="preserve"> The Economist Intelligence Unit Limited 2022.</w:t>
      </w:r>
    </w:p>
    <w:p w14:paraId="50E665CD" w14:textId="77777777" w:rsidR="002275A5" w:rsidRPr="0014416F" w:rsidRDefault="002275A5" w:rsidP="0014416F">
      <w:pPr>
        <w:ind w:left="709" w:hanging="709"/>
        <w:rPr>
          <w:lang w:val="en-US"/>
        </w:rPr>
      </w:pPr>
      <w:r w:rsidRPr="002275A5">
        <w:rPr>
          <w:lang w:val="en-US"/>
        </w:rPr>
        <w:t xml:space="preserve">Gordon, Michael et al. </w:t>
      </w:r>
      <w:r w:rsidRPr="0014416F">
        <w:rPr>
          <w:lang w:val="en-US"/>
        </w:rPr>
        <w:t xml:space="preserve">(2021). “Predicting replicability—Analysis of survey and prediction market data from large-scale forecasting projects”. </w:t>
      </w:r>
      <w:r w:rsidRPr="0014416F">
        <w:rPr>
          <w:i/>
          <w:iCs/>
          <w:lang w:val="en-US"/>
        </w:rPr>
        <w:t>PLOS ONE</w:t>
      </w:r>
      <w:r w:rsidRPr="0014416F">
        <w:rPr>
          <w:lang w:val="en-US"/>
        </w:rPr>
        <w:t xml:space="preserve"> 16 (4).</w:t>
      </w:r>
    </w:p>
    <w:p w14:paraId="31DC415E" w14:textId="77777777" w:rsidR="002275A5" w:rsidRPr="002275A5" w:rsidRDefault="002275A5" w:rsidP="002275A5">
      <w:pPr>
        <w:pStyle w:val="Bibliography1"/>
        <w:rPr>
          <w:rFonts w:ascii="Calibri" w:cs="Calibri"/>
        </w:rPr>
      </w:pPr>
      <w:r w:rsidRPr="002275A5">
        <w:rPr>
          <w:rFonts w:ascii="Calibri" w:cs="Calibri"/>
        </w:rPr>
        <w:t xml:space="preserve">Gould-Davies, Nigel. 2019. </w:t>
      </w:r>
      <w:r w:rsidRPr="002275A5">
        <w:rPr>
          <w:rFonts w:ascii="Calibri" w:cs="Calibri"/>
          <w:i/>
          <w:iCs/>
        </w:rPr>
        <w:t>Tectonic Politics: Global Political Risk in an Age of Transformation</w:t>
      </w:r>
      <w:r w:rsidRPr="002275A5">
        <w:rPr>
          <w:rFonts w:ascii="Calibri" w:cs="Calibri"/>
        </w:rPr>
        <w:t>. Brookings Institution Press.</w:t>
      </w:r>
    </w:p>
    <w:p w14:paraId="69C48019" w14:textId="77777777" w:rsidR="002275A5" w:rsidRPr="00404CB8" w:rsidRDefault="002275A5" w:rsidP="0014416F">
      <w:pPr>
        <w:ind w:left="709" w:hanging="709"/>
        <w:rPr>
          <w:lang w:val="en-US"/>
        </w:rPr>
      </w:pPr>
      <w:proofErr w:type="spellStart"/>
      <w:r w:rsidRPr="0014416F">
        <w:rPr>
          <w:lang w:val="en-US"/>
        </w:rPr>
        <w:t>Graefe</w:t>
      </w:r>
      <w:proofErr w:type="spellEnd"/>
      <w:r w:rsidRPr="0014416F">
        <w:rPr>
          <w:lang w:val="en-US"/>
        </w:rPr>
        <w:t>, Andreas (2017). “Political markets”. The Sage Handbook of Electoral Behavior. Los Angeles: Sage. FC.</w:t>
      </w:r>
    </w:p>
    <w:p w14:paraId="32732DD4" w14:textId="77777777" w:rsidR="002275A5" w:rsidRPr="002275A5" w:rsidRDefault="002275A5" w:rsidP="002275A5">
      <w:pPr>
        <w:pStyle w:val="Bibliography1"/>
        <w:rPr>
          <w:rFonts w:ascii="Calibri" w:cs="Calibri"/>
        </w:rPr>
      </w:pPr>
      <w:r w:rsidRPr="002275A5">
        <w:rPr>
          <w:rFonts w:ascii="Calibri" w:cs="Calibri"/>
        </w:rPr>
        <w:t xml:space="preserve">McKellar, Robert. 2017. </w:t>
      </w:r>
      <w:r w:rsidRPr="002275A5">
        <w:rPr>
          <w:rFonts w:ascii="Calibri" w:cs="Calibri"/>
          <w:i/>
          <w:iCs/>
        </w:rPr>
        <w:t>A Short Guide to Political Risk</w:t>
      </w:r>
      <w:r w:rsidRPr="002275A5">
        <w:rPr>
          <w:rFonts w:ascii="Calibri" w:cs="Calibri"/>
        </w:rPr>
        <w:t>. Routledge.</w:t>
      </w:r>
    </w:p>
    <w:p w14:paraId="07B1E354" w14:textId="77777777" w:rsidR="002275A5" w:rsidRDefault="002275A5" w:rsidP="0014416F">
      <w:pPr>
        <w:ind w:left="709" w:hanging="709"/>
        <w:rPr>
          <w:lang w:val="en-US"/>
        </w:rPr>
      </w:pPr>
      <w:r>
        <w:rPr>
          <w:lang w:val="en-US"/>
        </w:rPr>
        <w:t xml:space="preserve">Morgenstern, Sandra and Oliver </w:t>
      </w:r>
      <w:proofErr w:type="spellStart"/>
      <w:r>
        <w:rPr>
          <w:lang w:val="en-US"/>
        </w:rPr>
        <w:t>Strijbis</w:t>
      </w:r>
      <w:proofErr w:type="spellEnd"/>
      <w:r>
        <w:rPr>
          <w:lang w:val="en-US"/>
        </w:rPr>
        <w:t xml:space="preserve"> (under review): “Forecasting migration movements with prediction markets”. Under review (R&amp;R) from </w:t>
      </w:r>
      <w:r w:rsidRPr="0014416F">
        <w:rPr>
          <w:i/>
          <w:iCs/>
          <w:lang w:val="en-US"/>
        </w:rPr>
        <w:t>Journal of Ethnic and Migration Studies</w:t>
      </w:r>
      <w:r>
        <w:rPr>
          <w:lang w:val="en-US"/>
        </w:rPr>
        <w:t>.</w:t>
      </w:r>
    </w:p>
    <w:p w14:paraId="4E6AC1AA" w14:textId="77777777" w:rsidR="002275A5" w:rsidRPr="002275A5" w:rsidRDefault="002275A5" w:rsidP="002275A5">
      <w:pPr>
        <w:pStyle w:val="Bibliography1"/>
        <w:rPr>
          <w:rFonts w:ascii="Calibri" w:cs="Calibri"/>
        </w:rPr>
      </w:pPr>
      <w:proofErr w:type="spellStart"/>
      <w:r w:rsidRPr="002275A5">
        <w:rPr>
          <w:rFonts w:ascii="Calibri" w:cs="Calibri"/>
        </w:rPr>
        <w:t>Toksöz</w:t>
      </w:r>
      <w:proofErr w:type="spellEnd"/>
      <w:r w:rsidRPr="002275A5">
        <w:rPr>
          <w:rFonts w:ascii="Calibri" w:cs="Calibri"/>
        </w:rPr>
        <w:t xml:space="preserve">, Mina. 2014. </w:t>
      </w:r>
      <w:r w:rsidRPr="002275A5">
        <w:rPr>
          <w:rFonts w:ascii="Calibri" w:cs="Calibri"/>
          <w:i/>
          <w:iCs/>
        </w:rPr>
        <w:t>Guide to Country Risk: How to identify, manage and mitigate the risks of doing business across borders</w:t>
      </w:r>
      <w:r w:rsidRPr="002275A5">
        <w:rPr>
          <w:rFonts w:ascii="Calibri" w:cs="Calibri"/>
        </w:rPr>
        <w:t>. The Economist.</w:t>
      </w:r>
    </w:p>
    <w:sectPr w:rsidR="002275A5" w:rsidRPr="002275A5">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FA983" w14:textId="77777777" w:rsidR="00D52071" w:rsidRDefault="00D52071" w:rsidP="00A33555">
      <w:r>
        <w:separator/>
      </w:r>
    </w:p>
  </w:endnote>
  <w:endnote w:type="continuationSeparator" w:id="0">
    <w:p w14:paraId="7AF6568E" w14:textId="77777777" w:rsidR="00D52071" w:rsidRDefault="00D52071" w:rsidP="00A3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1836581"/>
      <w:docPartObj>
        <w:docPartGallery w:val="Page Numbers (Bottom of Page)"/>
        <w:docPartUnique/>
      </w:docPartObj>
    </w:sdtPr>
    <w:sdtContent>
      <w:p w14:paraId="629C79B4" w14:textId="1D28D8ED" w:rsidR="00A33555" w:rsidRDefault="00A33555" w:rsidP="004A38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315BD3" w14:textId="77777777" w:rsidR="00A33555" w:rsidRDefault="00A33555" w:rsidP="00A335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831442"/>
      <w:docPartObj>
        <w:docPartGallery w:val="Page Numbers (Bottom of Page)"/>
        <w:docPartUnique/>
      </w:docPartObj>
    </w:sdtPr>
    <w:sdtContent>
      <w:p w14:paraId="153567E7" w14:textId="0803DE82" w:rsidR="00A33555" w:rsidRDefault="00A33555" w:rsidP="004A38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434EDE" w14:textId="77777777" w:rsidR="00A33555" w:rsidRDefault="00A33555" w:rsidP="00A335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F235" w14:textId="77777777" w:rsidR="00D52071" w:rsidRDefault="00D52071" w:rsidP="00A33555">
      <w:r>
        <w:separator/>
      </w:r>
    </w:p>
  </w:footnote>
  <w:footnote w:type="continuationSeparator" w:id="0">
    <w:p w14:paraId="5BD652C3" w14:textId="77777777" w:rsidR="00D52071" w:rsidRDefault="00D52071" w:rsidP="00A3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B5C"/>
    <w:multiLevelType w:val="hybridMultilevel"/>
    <w:tmpl w:val="F386D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0D07C7"/>
    <w:multiLevelType w:val="hybridMultilevel"/>
    <w:tmpl w:val="D324AE40"/>
    <w:lvl w:ilvl="0" w:tplc="FFA62A2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981281E"/>
    <w:multiLevelType w:val="hybridMultilevel"/>
    <w:tmpl w:val="AE1254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989091122">
    <w:abstractNumId w:val="2"/>
  </w:num>
  <w:num w:numId="2" w16cid:durableId="948392461">
    <w:abstractNumId w:val="0"/>
  </w:num>
  <w:num w:numId="3" w16cid:durableId="202443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C9"/>
    <w:rsid w:val="000169A6"/>
    <w:rsid w:val="0014416F"/>
    <w:rsid w:val="001F4039"/>
    <w:rsid w:val="00210E7D"/>
    <w:rsid w:val="002135DF"/>
    <w:rsid w:val="002275A5"/>
    <w:rsid w:val="002A765C"/>
    <w:rsid w:val="003124C2"/>
    <w:rsid w:val="00324652"/>
    <w:rsid w:val="003A3F39"/>
    <w:rsid w:val="003F4287"/>
    <w:rsid w:val="00404CB8"/>
    <w:rsid w:val="004106CC"/>
    <w:rsid w:val="00435961"/>
    <w:rsid w:val="00517911"/>
    <w:rsid w:val="005930EE"/>
    <w:rsid w:val="006217F0"/>
    <w:rsid w:val="0063764F"/>
    <w:rsid w:val="00656F1A"/>
    <w:rsid w:val="00677F8C"/>
    <w:rsid w:val="006C41B7"/>
    <w:rsid w:val="006F7567"/>
    <w:rsid w:val="00717E99"/>
    <w:rsid w:val="00787BB3"/>
    <w:rsid w:val="00930934"/>
    <w:rsid w:val="00A33555"/>
    <w:rsid w:val="00A65002"/>
    <w:rsid w:val="00AC6A12"/>
    <w:rsid w:val="00B424B4"/>
    <w:rsid w:val="00B54420"/>
    <w:rsid w:val="00B56E4B"/>
    <w:rsid w:val="00C62034"/>
    <w:rsid w:val="00D52071"/>
    <w:rsid w:val="00D763C9"/>
    <w:rsid w:val="00DC4A88"/>
    <w:rsid w:val="00E32E14"/>
    <w:rsid w:val="00ED0B4F"/>
    <w:rsid w:val="00F154A7"/>
    <w:rsid w:val="00F85963"/>
    <w:rsid w:val="00F86490"/>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7504"/>
  <w15:docId w15:val="{909A4D91-9A31-CE4E-AA88-34D03112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A88"/>
    <w:rPr>
      <w:color w:val="0563C1" w:themeColor="hyperlink"/>
      <w:u w:val="single"/>
    </w:rPr>
  </w:style>
  <w:style w:type="character" w:styleId="UnresolvedMention">
    <w:name w:val="Unresolved Mention"/>
    <w:basedOn w:val="DefaultParagraphFont"/>
    <w:uiPriority w:val="99"/>
    <w:semiHidden/>
    <w:unhideWhenUsed/>
    <w:rsid w:val="00DC4A88"/>
    <w:rPr>
      <w:color w:val="605E5C"/>
      <w:shd w:val="clear" w:color="auto" w:fill="E1DFDD"/>
    </w:rPr>
  </w:style>
  <w:style w:type="paragraph" w:styleId="Footer">
    <w:name w:val="footer"/>
    <w:basedOn w:val="Normal"/>
    <w:link w:val="FooterChar"/>
    <w:uiPriority w:val="99"/>
    <w:unhideWhenUsed/>
    <w:rsid w:val="00A33555"/>
    <w:pPr>
      <w:tabs>
        <w:tab w:val="center" w:pos="4536"/>
        <w:tab w:val="right" w:pos="9072"/>
      </w:tabs>
    </w:pPr>
  </w:style>
  <w:style w:type="character" w:customStyle="1" w:styleId="FooterChar">
    <w:name w:val="Footer Char"/>
    <w:basedOn w:val="DefaultParagraphFont"/>
    <w:link w:val="Footer"/>
    <w:uiPriority w:val="99"/>
    <w:rsid w:val="00A33555"/>
  </w:style>
  <w:style w:type="character" w:styleId="PageNumber">
    <w:name w:val="page number"/>
    <w:basedOn w:val="DefaultParagraphFont"/>
    <w:uiPriority w:val="99"/>
    <w:semiHidden/>
    <w:unhideWhenUsed/>
    <w:rsid w:val="00A33555"/>
  </w:style>
  <w:style w:type="paragraph" w:styleId="ListParagraph">
    <w:name w:val="List Paragraph"/>
    <w:basedOn w:val="Normal"/>
    <w:uiPriority w:val="34"/>
    <w:qFormat/>
    <w:rsid w:val="00AC6A12"/>
    <w:pPr>
      <w:ind w:left="720"/>
      <w:contextualSpacing/>
    </w:pPr>
  </w:style>
  <w:style w:type="paragraph" w:styleId="FootnoteText">
    <w:name w:val="footnote text"/>
    <w:basedOn w:val="Normal"/>
    <w:link w:val="FootnoteTextChar"/>
    <w:uiPriority w:val="99"/>
    <w:semiHidden/>
    <w:unhideWhenUsed/>
    <w:rsid w:val="000169A6"/>
    <w:rPr>
      <w:sz w:val="20"/>
      <w:szCs w:val="20"/>
    </w:rPr>
  </w:style>
  <w:style w:type="character" w:customStyle="1" w:styleId="FootnoteTextChar">
    <w:name w:val="Footnote Text Char"/>
    <w:basedOn w:val="DefaultParagraphFont"/>
    <w:link w:val="FootnoteText"/>
    <w:uiPriority w:val="99"/>
    <w:semiHidden/>
    <w:rsid w:val="000169A6"/>
    <w:rPr>
      <w:sz w:val="20"/>
      <w:szCs w:val="20"/>
    </w:rPr>
  </w:style>
  <w:style w:type="character" w:styleId="FootnoteReference">
    <w:name w:val="footnote reference"/>
    <w:basedOn w:val="DefaultParagraphFont"/>
    <w:uiPriority w:val="99"/>
    <w:semiHidden/>
    <w:unhideWhenUsed/>
    <w:rsid w:val="000169A6"/>
    <w:rPr>
      <w:vertAlign w:val="superscript"/>
    </w:rPr>
  </w:style>
  <w:style w:type="paragraph" w:customStyle="1" w:styleId="Bibliography1">
    <w:name w:val="Bibliography1"/>
    <w:basedOn w:val="Normal"/>
    <w:link w:val="BibliographyZchn"/>
    <w:rsid w:val="002275A5"/>
    <w:pPr>
      <w:ind w:left="720" w:hanging="720"/>
    </w:pPr>
    <w:rPr>
      <w:lang w:val="en-US"/>
    </w:rPr>
  </w:style>
  <w:style w:type="character" w:customStyle="1" w:styleId="BibliographyZchn">
    <w:name w:val="Bibliography Zchn"/>
    <w:basedOn w:val="DefaultParagraphFont"/>
    <w:link w:val="Bibliography1"/>
    <w:rsid w:val="002275A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037">
      <w:bodyDiv w:val="1"/>
      <w:marLeft w:val="0"/>
      <w:marRight w:val="0"/>
      <w:marTop w:val="0"/>
      <w:marBottom w:val="0"/>
      <w:divBdr>
        <w:top w:val="none" w:sz="0" w:space="0" w:color="auto"/>
        <w:left w:val="none" w:sz="0" w:space="0" w:color="auto"/>
        <w:bottom w:val="none" w:sz="0" w:space="0" w:color="auto"/>
        <w:right w:val="none" w:sz="0" w:space="0" w:color="auto"/>
      </w:divBdr>
    </w:div>
    <w:div w:id="553152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strijbis@fu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mia-forecast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8223-22ED-DF45-996E-172A5F72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1987</Words>
  <Characters>11329</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Strijbis</dc:creator>
  <cp:keywords/>
  <dc:description/>
  <cp:lastModifiedBy>Microsoft Office User</cp:lastModifiedBy>
  <cp:revision>11</cp:revision>
  <dcterms:created xsi:type="dcterms:W3CDTF">2022-11-20T12:17:00Z</dcterms:created>
  <dcterms:modified xsi:type="dcterms:W3CDTF">2023-02-07T12:12:00Z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id="QoscDARW"/&gt;&lt;style id="http://www.zotero.org/styles/american-journal-of-political-science" hasBibliography="1" bibliographyStyleHasBeenSet="1"/&gt;&lt;prefs&gt;&lt;pref name="fieldType" value="Field"/&gt;&lt;/prefs</vt:lpwstr>
  </property>
  <property fmtid="{D5CDD505-2E9C-101B-9397-08002B2CF9AE}" pid="3" name="ZOTERO_PREF_2">
    <vt:lpwstr>&gt;&lt;/data&gt;</vt:lpwstr>
  </property>
</Properties>
</file>